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9165" w14:textId="77777777" w:rsidR="008139C9" w:rsidRPr="00321B58" w:rsidRDefault="008139C9" w:rsidP="008139C9">
      <w:pPr>
        <w:spacing w:before="157" w:after="157" w:line="270" w:lineRule="auto"/>
        <w:rPr>
          <w:rFonts w:ascii="Arial" w:hAnsi="Arial" w:cs="Arial"/>
          <w:sz w:val="20"/>
          <w:szCs w:val="20"/>
        </w:rPr>
      </w:pPr>
      <w:r w:rsidRPr="00321B58">
        <w:rPr>
          <w:rFonts w:ascii="Arial" w:eastAsia="inter" w:hAnsi="Arial" w:cs="Arial"/>
          <w:b/>
          <w:color w:val="000000"/>
          <w:sz w:val="20"/>
          <w:szCs w:val="20"/>
        </w:rPr>
        <w:t>BANK X CORPORATION</w:t>
      </w:r>
    </w:p>
    <w:p w14:paraId="18A07487"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GLOBAL FINANCIAL CRIME STANDARDS</w:t>
      </w:r>
    </w:p>
    <w:p w14:paraId="5EA32DCB"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CUSTOMER IDENTIFICATION PROGRAM (CIP) AND CUSTOMER DUE DILIGENCE (CDD) STANDARDS</w:t>
      </w:r>
    </w:p>
    <w:p w14:paraId="3EE3D880"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DOCUMENT CONTROL</w:t>
      </w:r>
    </w:p>
    <w:p w14:paraId="3C5E3B00" w14:textId="77777777" w:rsidR="008139C9" w:rsidRPr="00321B58" w:rsidRDefault="008139C9" w:rsidP="008139C9">
      <w:pPr>
        <w:numPr>
          <w:ilvl w:val="0"/>
          <w:numId w:val="2"/>
        </w:numPr>
        <w:spacing w:before="105" w:after="105" w:line="360" w:lineRule="auto"/>
        <w:rPr>
          <w:rFonts w:ascii="Arial" w:hAnsi="Arial" w:cs="Arial"/>
          <w:sz w:val="20"/>
          <w:szCs w:val="20"/>
        </w:rPr>
      </w:pPr>
      <w:r w:rsidRPr="00321B58">
        <w:rPr>
          <w:rFonts w:ascii="Arial" w:eastAsia="inter" w:hAnsi="Arial" w:cs="Arial"/>
          <w:color w:val="000000"/>
          <w:sz w:val="20"/>
          <w:szCs w:val="20"/>
        </w:rPr>
        <w:t>Document Title: Global Financial Crime Standards - CIP/CDD Framework</w:t>
      </w:r>
    </w:p>
    <w:p w14:paraId="060A34E9" w14:textId="77777777" w:rsidR="008139C9" w:rsidRPr="00321B58" w:rsidRDefault="008139C9" w:rsidP="008139C9">
      <w:pPr>
        <w:numPr>
          <w:ilvl w:val="0"/>
          <w:numId w:val="2"/>
        </w:numPr>
        <w:spacing w:before="105" w:after="105" w:line="360" w:lineRule="auto"/>
        <w:rPr>
          <w:rFonts w:ascii="Arial" w:hAnsi="Arial" w:cs="Arial"/>
          <w:sz w:val="20"/>
          <w:szCs w:val="20"/>
        </w:rPr>
      </w:pPr>
      <w:r w:rsidRPr="00321B58">
        <w:rPr>
          <w:rFonts w:ascii="Arial" w:eastAsia="inter" w:hAnsi="Arial" w:cs="Arial"/>
          <w:color w:val="000000"/>
          <w:sz w:val="20"/>
          <w:szCs w:val="20"/>
        </w:rPr>
        <w:t>Version: 4.0</w:t>
      </w:r>
    </w:p>
    <w:p w14:paraId="08BAE815" w14:textId="77777777" w:rsidR="008139C9" w:rsidRPr="00321B58" w:rsidRDefault="008139C9" w:rsidP="008139C9">
      <w:pPr>
        <w:numPr>
          <w:ilvl w:val="0"/>
          <w:numId w:val="2"/>
        </w:numPr>
        <w:spacing w:before="105" w:after="105" w:line="360" w:lineRule="auto"/>
        <w:rPr>
          <w:rFonts w:ascii="Arial" w:hAnsi="Arial" w:cs="Arial"/>
          <w:sz w:val="20"/>
          <w:szCs w:val="20"/>
        </w:rPr>
      </w:pPr>
      <w:r w:rsidRPr="00321B58">
        <w:rPr>
          <w:rFonts w:ascii="Arial" w:eastAsia="inter" w:hAnsi="Arial" w:cs="Arial"/>
          <w:color w:val="000000"/>
          <w:sz w:val="20"/>
          <w:szCs w:val="20"/>
        </w:rPr>
        <w:t>Effective Date: January 1, 2026</w:t>
      </w:r>
    </w:p>
    <w:p w14:paraId="05661F9C" w14:textId="77777777" w:rsidR="008139C9" w:rsidRPr="00321B58" w:rsidRDefault="008139C9" w:rsidP="008139C9">
      <w:pPr>
        <w:numPr>
          <w:ilvl w:val="0"/>
          <w:numId w:val="2"/>
        </w:numPr>
        <w:spacing w:before="105" w:after="105" w:line="360" w:lineRule="auto"/>
        <w:rPr>
          <w:rFonts w:ascii="Arial" w:hAnsi="Arial" w:cs="Arial"/>
          <w:sz w:val="20"/>
          <w:szCs w:val="20"/>
        </w:rPr>
      </w:pPr>
      <w:r w:rsidRPr="00321B58">
        <w:rPr>
          <w:rFonts w:ascii="Arial" w:eastAsia="inter" w:hAnsi="Arial" w:cs="Arial"/>
          <w:color w:val="000000"/>
          <w:sz w:val="20"/>
          <w:szCs w:val="20"/>
        </w:rPr>
        <w:t>Classification: Internal Use Only - Executive Level</w:t>
      </w:r>
    </w:p>
    <w:p w14:paraId="39D75D11" w14:textId="77777777" w:rsidR="008139C9" w:rsidRPr="00321B58" w:rsidRDefault="008139C9" w:rsidP="008139C9">
      <w:pPr>
        <w:numPr>
          <w:ilvl w:val="0"/>
          <w:numId w:val="2"/>
        </w:numPr>
        <w:spacing w:before="105" w:after="105" w:line="360" w:lineRule="auto"/>
        <w:rPr>
          <w:rFonts w:ascii="Arial" w:hAnsi="Arial" w:cs="Arial"/>
          <w:sz w:val="20"/>
          <w:szCs w:val="20"/>
        </w:rPr>
      </w:pPr>
      <w:r w:rsidRPr="00321B58">
        <w:rPr>
          <w:rFonts w:ascii="Arial" w:eastAsia="inter" w:hAnsi="Arial" w:cs="Arial"/>
          <w:color w:val="000000"/>
          <w:sz w:val="20"/>
          <w:szCs w:val="20"/>
        </w:rPr>
        <w:t>Owner: Chief Risk Officer</w:t>
      </w:r>
    </w:p>
    <w:p w14:paraId="161A3443" w14:textId="77777777" w:rsidR="008139C9" w:rsidRPr="00321B58" w:rsidRDefault="008139C9" w:rsidP="008139C9">
      <w:pPr>
        <w:numPr>
          <w:ilvl w:val="0"/>
          <w:numId w:val="2"/>
        </w:numPr>
        <w:spacing w:before="105" w:after="105" w:line="360" w:lineRule="auto"/>
        <w:rPr>
          <w:rFonts w:ascii="Arial" w:hAnsi="Arial" w:cs="Arial"/>
          <w:sz w:val="20"/>
          <w:szCs w:val="20"/>
        </w:rPr>
      </w:pPr>
      <w:r w:rsidRPr="00321B58">
        <w:rPr>
          <w:rFonts w:ascii="Arial" w:eastAsia="inter" w:hAnsi="Arial" w:cs="Arial"/>
          <w:color w:val="000000"/>
          <w:sz w:val="20"/>
          <w:szCs w:val="20"/>
        </w:rPr>
        <w:t>Approval Authority: Board of Directors Risk Committee</w:t>
      </w:r>
    </w:p>
    <w:p w14:paraId="613FC2EF"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EXECUTIVE SUMMARY</w:t>
      </w:r>
    </w:p>
    <w:p w14:paraId="66262C27"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These Global Customer Identification Program and Customer Due Diligence Standards establish enterprise-wide requirements for all Bank X entities, business lines, subsidiaries, and operations worldwide. These standards incorporate lessons learned from recent regulatory enforcement actions across the banking industry, emerging regulatory guidance including the 2025 FDIC modernization initiatives, FFIEC BSA/AML Examination Manual requirements, and industry best practices for large multinational financial institutions. All Bank X operations must comply with these global minimum standards while meeting or exceeding local regulatory requirements in each operating jurisdiction.</w:t>
      </w:r>
    </w:p>
    <w:p w14:paraId="6178D27F"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The standards provide comprehensive guidance for customer identification, identity verification, risk-based due diligence, beneficial ownership identification, ongoing monitoring, and regulatory compliance across all customer segments and business lines. These procedures ensure Bank X maintains effective controls against money laundering, terrorist financing, sanctions violations, and other financial crimes while supporting legitimate business activities and customer relationships.</w:t>
      </w:r>
    </w:p>
    <w:p w14:paraId="52CEB728"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1. GOVERNANCE AND ACCOUNTABILITY FRAMEWORK</w:t>
      </w:r>
    </w:p>
    <w:p w14:paraId="5F556A72"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Board and Executive Oversight Requirements</w:t>
      </w:r>
    </w:p>
    <w:p w14:paraId="6AE18D59"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Board-Level Accountability for CIP/CDD Programs:</w:t>
      </w:r>
      <w:r w:rsidRPr="00321B58">
        <w:rPr>
          <w:rFonts w:ascii="Arial" w:eastAsia="inter" w:hAnsi="Arial" w:cs="Arial"/>
          <w:color w:val="000000"/>
          <w:sz w:val="20"/>
          <w:szCs w:val="20"/>
        </w:rPr>
        <w:br/>
        <w:t xml:space="preserve">The Bank X Board of Directors maintains ultimate accountability for the effectiveness of Customer Identification Program and Customer Due Diligence standards across all global operations through dedicated Risk Committee oversight. The Board Risk Committee includes at least four independent directors with specific financial crime compliance expertise and receives quarterly comprehensive reports </w:t>
      </w:r>
      <w:r w:rsidRPr="00321B58">
        <w:rPr>
          <w:rFonts w:ascii="Arial" w:eastAsia="inter" w:hAnsi="Arial" w:cs="Arial"/>
          <w:color w:val="000000"/>
          <w:sz w:val="20"/>
          <w:szCs w:val="20"/>
        </w:rPr>
        <w:lastRenderedPageBreak/>
        <w:t>on CIP/CDD program effectiveness, regulatory examination findings, customer risk profile trends, and emerging compliance challenges requiring strategic attention.</w:t>
      </w:r>
    </w:p>
    <w:p w14:paraId="69F88BC9"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Executive accountability extends through designated Global CIP/CDD Officers who report directly to the Chief Risk Officer and maintain functional independence from business line revenue pressures and customer relationship considerations. The Global CIP/CDD organization has enterprise-wide authority to establish customer identification requirements, implement risk-based due diligence procedures, restrict account opening activities, and terminate customer relationships when necessary to maintain compliance with regulatory requirements and institutional risk appetite parameters.</w:t>
      </w:r>
    </w:p>
    <w:p w14:paraId="3BC3CC4B"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The Board receives detailed quarterly reports including CIP completion metrics with analysis by customer type and geographic region, due diligence quality assessment results and trend analysis, regulatory examination findings and corrective action status updates, customer risk profile evolution and concentration analysis, emerging threat assessments and mitigation strategies, technology system performance and enhancement initiatives, and training program effectiveness and competency development progress.</w:t>
      </w:r>
    </w:p>
    <w:p w14:paraId="7F1792FB"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Enterprise Risk Appetite for Customer Identification and Due Diligence:</w:t>
      </w:r>
      <w:r w:rsidRPr="00321B58">
        <w:rPr>
          <w:rFonts w:ascii="Arial" w:eastAsia="inter" w:hAnsi="Arial" w:cs="Arial"/>
          <w:color w:val="000000"/>
          <w:sz w:val="20"/>
          <w:szCs w:val="20"/>
        </w:rPr>
        <w:br/>
        <w:t>Bank X maintains a risk appetite framework that establishes quantitative and qualitative parameters for acceptable customer identification and due diligence risks across all business lines and geographic markets. The risk appetite includes maximum acceptable rates of incomplete customer identification documentation, thresholds for high-risk customer concentrations by geography and industry sector, and tolerance levels for regulatory examination findings related to CIP/CDD deficiencies.</w:t>
      </w:r>
    </w:p>
    <w:p w14:paraId="345B071F"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Risk appetite metrics include maintaining regulatory examination ratings of Satisfactory or better for BSA/AML compliance programs, achieving customer identification completion rates of 99.5% or higher within required timeframes, ensuring high-risk customer concentrations do not exceed 15% of total customer relationships in any single business line or geographic region, maintaining customer due diligence information currency rates of 98% or higher across all risk categories, and limiting regulatory examination findings to no more than minor deficiencies with immediate corrective action implementation.</w:t>
      </w:r>
    </w:p>
    <w:p w14:paraId="232D0B3A"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Risk tolerance parameters encompass geographic concentration limits with maximum exposure thresholds for high-risk jurisdictions, industry concentration guidelines limiting exposure to cash-intensive and high-risk business sectors, product and service risk limits ensuring appropriate risk mitigation for complex financial products, and relationship complexity boundaries establishing enhanced oversight requirements for complex entity structures and beneficial ownership arrangements.</w:t>
      </w:r>
    </w:p>
    <w:p w14:paraId="1B74D108"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Three Lines of Defense Implementation</w:t>
      </w:r>
    </w:p>
    <w:p w14:paraId="6B83DC4C"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First Line of Defense - Business Line CIP/CDD Responsibilities:</w:t>
      </w:r>
      <w:r w:rsidRPr="00321B58">
        <w:rPr>
          <w:rFonts w:ascii="Arial" w:eastAsia="inter" w:hAnsi="Arial" w:cs="Arial"/>
          <w:color w:val="000000"/>
          <w:sz w:val="20"/>
          <w:szCs w:val="20"/>
        </w:rPr>
        <w:br/>
        <w:t xml:space="preserve">Business lines serve as the first line of defense through embedded customer identification and due diligence capabilities within daily customer onboarding, relationship management, and transaction </w:t>
      </w:r>
      <w:r w:rsidRPr="00321B58">
        <w:rPr>
          <w:rFonts w:ascii="Arial" w:eastAsia="inter" w:hAnsi="Arial" w:cs="Arial"/>
          <w:color w:val="000000"/>
          <w:sz w:val="20"/>
          <w:szCs w:val="20"/>
        </w:rPr>
        <w:lastRenderedPageBreak/>
        <w:t>processing activities. Front-line personnel receive comprehensive role-specific training on customer identification requirements, risk assessment methodologies, and escalation procedures tailored to their specific products, services, and customer segments.</w:t>
      </w:r>
    </w:p>
    <w:p w14:paraId="72D97126"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Business line accountability includes implementing consistent customer identification procedures across all service delivery channels including in-person, digital, and telephone account opening processes, conducting appropriate risk-based customer due diligence based on standardized risk assessment criteria and regulatory requirements, maintaining complete and accurate customer information throughout relationship lifecycles with regular update and verification procedures, and escalating unusual customer circumstances or high-risk indicators to appropriate compliance personnel within established timeframes.</w:t>
      </w:r>
    </w:p>
    <w:p w14:paraId="1AD6A276"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Front-line responsibilities encompass initial customer risk assessment and classification using standardized methodologies and criteria, complete collection of required identification and due diligence information including beneficial ownership details for entity customers, proper documentation and verification of customer identity using approved documentary and non-documentary methods, ongoing relationship monitoring to identify changes in customer risk profiles or suspicious activity patterns, and comprehensive documentation of all customer identification and due diligence activities for regulatory examination and audit purposes.</w:t>
      </w:r>
    </w:p>
    <w:p w14:paraId="372352D3"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Business line management maintains accountability for staff training and competency development, quality assurance monitoring and testing of CIP/CDD procedures, customer relationship reviews and risk assessment updates, coordination with second line compliance oversight functions, and implementation of corrective actions for identified deficiencies or weaknesses in customer identification and due diligence processes.</w:t>
      </w:r>
    </w:p>
    <w:p w14:paraId="763E17E1"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Second Line of Defense - Independent CIP/CDD Oversight:</w:t>
      </w:r>
      <w:r w:rsidRPr="00321B58">
        <w:rPr>
          <w:rFonts w:ascii="Arial" w:eastAsia="inter" w:hAnsi="Arial" w:cs="Arial"/>
          <w:color w:val="000000"/>
          <w:sz w:val="20"/>
          <w:szCs w:val="20"/>
        </w:rPr>
        <w:br/>
        <w:t>The Global Financial Crime Compliance organization provides independent oversight, policy development, and effectiveness monitoring for all customer identification and due diligence activities across Bank X's global operations. Independent oversight includes conducting regular testing of CIP/CDD control effectiveness, monitoring compliance with established policies and procedures, identifying emerging risks requiring enhanced mitigation measures, and providing guidance to business lines on complex customer identification and due diligence scenarios.</w:t>
      </w:r>
    </w:p>
    <w:p w14:paraId="1C37FD2B"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Compliance oversight responsibilities include developing and maintaining risk-based customer identification and due diligence policies that meet or exceed regulatory requirements in all operating jurisdictions, conducting independent testing of business line compliance with established procedures including sampling methodologies and comprehensive review protocols, providing specialized expertise for complex customer identification and beneficial ownership scenarios including politically exposed persons and high-risk entity structures, and reporting program effectiveness and deficiencies to senior management and Board committees with detailed analysis and recommendations.</w:t>
      </w:r>
    </w:p>
    <w:p w14:paraId="2AF82627"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lastRenderedPageBreak/>
        <w:t>Second line oversight encompasses comprehensive policy development and maintenance including regular updates to reflect regulatory changes and emerging threats, independent testing and validation of business line CIP/CDD procedures with statistical sampling and trend analysis, specialized consultation and guidance for complex customer scenarios requiring enhanced due diligence or unusual verification procedures, regulatory examination support including documentation preparation and examiner response coordination, and technology oversight ensuring system capabilities meet regulatory requirements and operational needs.</w:t>
      </w:r>
    </w:p>
    <w:p w14:paraId="0CDC5D3E"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Quality assurance programs include regular sampling and testing of customer identification and due diligence files across all business lines and geographic regions, comprehensive analysis of testing results with trend identification and root cause analysis, development of corrective action plans for identified deficiencies with timeline and accountability assignments, ongoing monitoring of corrective action implementation with effectiveness validation, and regular reporting to senior management and Board committees on program effectiveness and emerging risks.</w:t>
      </w:r>
    </w:p>
    <w:p w14:paraId="414AD682"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Third Line of Defense - Internal Audit Assurance:</w:t>
      </w:r>
      <w:r w:rsidRPr="00321B58">
        <w:rPr>
          <w:rFonts w:ascii="Arial" w:eastAsia="inter" w:hAnsi="Arial" w:cs="Arial"/>
          <w:color w:val="000000"/>
          <w:sz w:val="20"/>
          <w:szCs w:val="20"/>
        </w:rPr>
        <w:br/>
        <w:t>Internal Audit provides independent assurance through comprehensive periodic reviews of customer identification and due diligence program effectiveness, regulatory compliance, and governance framework adequacy. Audit reviews evaluate control design adequacy, operating effectiveness, and compliance with both global standards and local regulatory requirements across all business lines and geographic regions.</w:t>
      </w:r>
    </w:p>
    <w:p w14:paraId="65549B2D"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Internal Audit responsibilities include conducting risk-based reviews of CIP/CDD program components including governance frameworks, policy adequacy, procedural implementation, and technology system effectiveness, validating effectiveness of business line and compliance testing activities including review methodology assessment and results validation, assessing adequacy of governance and oversight frameworks including Board reporting and senior management engagement, and providing independent evaluation of corrective action implementation for identified deficiencies with validation of remediation effectiveness.</w:t>
      </w:r>
    </w:p>
    <w:p w14:paraId="79D1EDA1"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Audit review scope encompasses comprehensive assessment of customer identification program implementation across all channels and customer types, evaluation of due diligence procedures including risk assessment methodologies and information collection adequacy, review of beneficial ownership identification procedures and complex entity structure analysis capabilities, assessment of ongoing monitoring and relationship review procedures including frequency and effectiveness measures, and validation of regulatory compliance including examination readiness and response capabilities.</w:t>
      </w:r>
    </w:p>
    <w:p w14:paraId="059622FE"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 xml:space="preserve">Audit reporting includes detailed findings and recommendations with risk ratings and management response requirements, comprehensive assessment of program effectiveness with benchmarking against regulatory expectations and industry practices, validation of corrective action implementation with testing and verification procedures, escalation of significant issues to Board Audit Committee with detailed </w:t>
      </w:r>
      <w:r w:rsidRPr="00321B58">
        <w:rPr>
          <w:rFonts w:ascii="Arial" w:eastAsia="inter" w:hAnsi="Arial" w:cs="Arial"/>
          <w:color w:val="000000"/>
          <w:sz w:val="20"/>
          <w:szCs w:val="20"/>
        </w:rPr>
        <w:lastRenderedPageBreak/>
        <w:t>impact analysis and remediation timelines, and regular follow-up reviews ensuring sustained compliance and control effectiveness.</w:t>
      </w:r>
    </w:p>
    <w:p w14:paraId="6BC91428"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2. CUSTOMER IDENTIFICATION PROGRAM (CIP)</w:t>
      </w:r>
    </w:p>
    <w:p w14:paraId="1C1730FA"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Required Customer Information Collection</w:t>
      </w:r>
    </w:p>
    <w:p w14:paraId="40BEB6C5"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Bank X must obtain the following identifying information from each customer before opening an account, in accordance with FFIEC BSA/AML Examination Manual requirements, 31 CFR 1020.220, and applicable regulatory guidance:</w:t>
      </w:r>
    </w:p>
    <w:p w14:paraId="6F767623"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Universal Requirements for All Customers:</w:t>
      </w:r>
      <w:r w:rsidRPr="00321B58">
        <w:rPr>
          <w:rFonts w:ascii="Arial" w:eastAsia="inter" w:hAnsi="Arial" w:cs="Arial"/>
          <w:color w:val="000000"/>
          <w:sz w:val="20"/>
          <w:szCs w:val="20"/>
        </w:rPr>
        <w:br/>
      </w:r>
      <w:r w:rsidRPr="00321B58">
        <w:rPr>
          <w:rFonts w:ascii="Arial" w:eastAsia="inter" w:hAnsi="Arial" w:cs="Arial"/>
          <w:b/>
          <w:color w:val="000000"/>
          <w:sz w:val="20"/>
          <w:szCs w:val="20"/>
        </w:rPr>
        <w:t>Name:</w:t>
      </w:r>
      <w:r w:rsidRPr="00321B58">
        <w:rPr>
          <w:rFonts w:ascii="Arial" w:eastAsia="inter" w:hAnsi="Arial" w:cs="Arial"/>
          <w:color w:val="000000"/>
          <w:sz w:val="20"/>
          <w:szCs w:val="20"/>
        </w:rPr>
        <w:t xml:space="preserve"> Full legal name as it appears on government-issued identification documents, including complete first name, middle name or initial, last name, and any suffixes or generational designations. For entities, complete legal name as registered with appropriate government authorities, including any amendments or name changes since formation. Collection must include all aliases, trade names, "doing business as" names, assumed names, or other names under which the customer conducts business or is known in commercial transactions.</w:t>
      </w:r>
    </w:p>
    <w:p w14:paraId="2E9EFD00"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Physical Address:</w:t>
      </w:r>
      <w:r w:rsidRPr="00321B58">
        <w:rPr>
          <w:rFonts w:ascii="Arial" w:eastAsia="inter" w:hAnsi="Arial" w:cs="Arial"/>
          <w:color w:val="000000"/>
          <w:sz w:val="20"/>
          <w:szCs w:val="20"/>
        </w:rPr>
        <w:t xml:space="preserve"> For individuals, complete residential address including street address, apartment or unit number when applicable, city, state or province, postal code, and country. Mailing </w:t>
      </w:r>
      <w:proofErr w:type="gramStart"/>
      <w:r w:rsidRPr="00321B58">
        <w:rPr>
          <w:rFonts w:ascii="Arial" w:eastAsia="inter" w:hAnsi="Arial" w:cs="Arial"/>
          <w:color w:val="000000"/>
          <w:sz w:val="20"/>
          <w:szCs w:val="20"/>
        </w:rPr>
        <w:t>address</w:t>
      </w:r>
      <w:proofErr w:type="gramEnd"/>
      <w:r w:rsidRPr="00321B58">
        <w:rPr>
          <w:rFonts w:ascii="Arial" w:eastAsia="inter" w:hAnsi="Arial" w:cs="Arial"/>
          <w:color w:val="000000"/>
          <w:sz w:val="20"/>
          <w:szCs w:val="20"/>
        </w:rPr>
        <w:t xml:space="preserve"> when different from residential </w:t>
      </w:r>
      <w:proofErr w:type="gramStart"/>
      <w:r w:rsidRPr="00321B58">
        <w:rPr>
          <w:rFonts w:ascii="Arial" w:eastAsia="inter" w:hAnsi="Arial" w:cs="Arial"/>
          <w:color w:val="000000"/>
          <w:sz w:val="20"/>
          <w:szCs w:val="20"/>
        </w:rPr>
        <w:t>address</w:t>
      </w:r>
      <w:proofErr w:type="gramEnd"/>
      <w:r w:rsidRPr="00321B58">
        <w:rPr>
          <w:rFonts w:ascii="Arial" w:eastAsia="inter" w:hAnsi="Arial" w:cs="Arial"/>
          <w:color w:val="000000"/>
          <w:sz w:val="20"/>
          <w:szCs w:val="20"/>
        </w:rPr>
        <w:t xml:space="preserve"> must also be collected and verified. For entities, principal business address or registered office address including complete street address, suite or floor number when applicable, city, state or province, postal code, and country. Collection must include all significant business locations and operational addresses.</w:t>
      </w:r>
    </w:p>
    <w:p w14:paraId="245CAC36"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Identification Number:</w:t>
      </w:r>
      <w:r w:rsidRPr="00321B58">
        <w:rPr>
          <w:rFonts w:ascii="Arial" w:eastAsia="inter" w:hAnsi="Arial" w:cs="Arial"/>
          <w:color w:val="000000"/>
          <w:sz w:val="20"/>
          <w:szCs w:val="20"/>
        </w:rPr>
        <w:t xml:space="preserve"> Taxpayer Identification Number (TIN), Social Security Number (SSN), Individual Taxpayer Identification Number (ITIN), Employer Identification Number (EIN), or other government-issued identification </w:t>
      </w:r>
      <w:proofErr w:type="gramStart"/>
      <w:r w:rsidRPr="00321B58">
        <w:rPr>
          <w:rFonts w:ascii="Arial" w:eastAsia="inter" w:hAnsi="Arial" w:cs="Arial"/>
          <w:color w:val="000000"/>
          <w:sz w:val="20"/>
          <w:szCs w:val="20"/>
        </w:rPr>
        <w:t>number</w:t>
      </w:r>
      <w:proofErr w:type="gramEnd"/>
      <w:r w:rsidRPr="00321B58">
        <w:rPr>
          <w:rFonts w:ascii="Arial" w:eastAsia="inter" w:hAnsi="Arial" w:cs="Arial"/>
          <w:color w:val="000000"/>
          <w:sz w:val="20"/>
          <w:szCs w:val="20"/>
        </w:rPr>
        <w:t xml:space="preserve"> appropriate for the jurisdiction and customer type. For foreign individuals, passport </w:t>
      </w:r>
      <w:proofErr w:type="gramStart"/>
      <w:r w:rsidRPr="00321B58">
        <w:rPr>
          <w:rFonts w:ascii="Arial" w:eastAsia="inter" w:hAnsi="Arial" w:cs="Arial"/>
          <w:color w:val="000000"/>
          <w:sz w:val="20"/>
          <w:szCs w:val="20"/>
        </w:rPr>
        <w:t>number</w:t>
      </w:r>
      <w:proofErr w:type="gramEnd"/>
      <w:r w:rsidRPr="00321B58">
        <w:rPr>
          <w:rFonts w:ascii="Arial" w:eastAsia="inter" w:hAnsi="Arial" w:cs="Arial"/>
          <w:color w:val="000000"/>
          <w:sz w:val="20"/>
          <w:szCs w:val="20"/>
        </w:rPr>
        <w:t xml:space="preserve"> and country of issuance when domestic identification numbers are not available. Documentation must include verification of identification number validity and </w:t>
      </w:r>
      <w:proofErr w:type="gramStart"/>
      <w:r w:rsidRPr="00321B58">
        <w:rPr>
          <w:rFonts w:ascii="Arial" w:eastAsia="inter" w:hAnsi="Arial" w:cs="Arial"/>
          <w:color w:val="000000"/>
          <w:sz w:val="20"/>
          <w:szCs w:val="20"/>
        </w:rPr>
        <w:t>current status</w:t>
      </w:r>
      <w:proofErr w:type="gramEnd"/>
      <w:r w:rsidRPr="00321B58">
        <w:rPr>
          <w:rFonts w:ascii="Arial" w:eastAsia="inter" w:hAnsi="Arial" w:cs="Arial"/>
          <w:color w:val="000000"/>
          <w:sz w:val="20"/>
          <w:szCs w:val="20"/>
        </w:rPr>
        <w:t>.</w:t>
      </w:r>
    </w:p>
    <w:p w14:paraId="12476AD6"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Additional Requirements for Individual Customers:</w:t>
      </w:r>
      <w:r w:rsidRPr="00321B58">
        <w:rPr>
          <w:rFonts w:ascii="Arial" w:eastAsia="inter" w:hAnsi="Arial" w:cs="Arial"/>
          <w:color w:val="000000"/>
          <w:sz w:val="20"/>
          <w:szCs w:val="20"/>
        </w:rPr>
        <w:br/>
      </w:r>
      <w:r w:rsidRPr="00321B58">
        <w:rPr>
          <w:rFonts w:ascii="Arial" w:eastAsia="inter" w:hAnsi="Arial" w:cs="Arial"/>
          <w:b/>
          <w:color w:val="000000"/>
          <w:sz w:val="20"/>
          <w:szCs w:val="20"/>
        </w:rPr>
        <w:t>Date of Birth:</w:t>
      </w:r>
      <w:r w:rsidRPr="00321B58">
        <w:rPr>
          <w:rFonts w:ascii="Arial" w:eastAsia="inter" w:hAnsi="Arial" w:cs="Arial"/>
          <w:color w:val="000000"/>
          <w:sz w:val="20"/>
          <w:szCs w:val="20"/>
        </w:rPr>
        <w:t xml:space="preserve"> Complete date of birth as verified through government-issued identification documents, including month, day, and year. Verification must confirm accuracy through primary identification documents and resolve any discrepancies through additional documentation or verification procedures.</w:t>
      </w:r>
    </w:p>
    <w:p w14:paraId="58DA57B3"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Country of Citizenship:</w:t>
      </w:r>
      <w:r w:rsidRPr="00321B58">
        <w:rPr>
          <w:rFonts w:ascii="Arial" w:eastAsia="inter" w:hAnsi="Arial" w:cs="Arial"/>
          <w:color w:val="000000"/>
          <w:sz w:val="20"/>
          <w:szCs w:val="20"/>
        </w:rPr>
        <w:t xml:space="preserve"> Primary citizenship and any dual citizenship status, including documentation of naturalization when applicable. For foreign nationals, visa status and immigration documentation </w:t>
      </w:r>
      <w:proofErr w:type="gramStart"/>
      <w:r w:rsidRPr="00321B58">
        <w:rPr>
          <w:rFonts w:ascii="Arial" w:eastAsia="inter" w:hAnsi="Arial" w:cs="Arial"/>
          <w:color w:val="000000"/>
          <w:sz w:val="20"/>
          <w:szCs w:val="20"/>
        </w:rPr>
        <w:t>including</w:t>
      </w:r>
      <w:proofErr w:type="gramEnd"/>
      <w:r w:rsidRPr="00321B58">
        <w:rPr>
          <w:rFonts w:ascii="Arial" w:eastAsia="inter" w:hAnsi="Arial" w:cs="Arial"/>
          <w:color w:val="000000"/>
          <w:sz w:val="20"/>
          <w:szCs w:val="20"/>
        </w:rPr>
        <w:t xml:space="preserve"> permanent resident status, temporary authorization, and work authorization details.</w:t>
      </w:r>
    </w:p>
    <w:p w14:paraId="4B636490"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lastRenderedPageBreak/>
        <w:t>Occupation and Employer Information:</w:t>
      </w:r>
      <w:r w:rsidRPr="00321B58">
        <w:rPr>
          <w:rFonts w:ascii="Arial" w:eastAsia="inter" w:hAnsi="Arial" w:cs="Arial"/>
          <w:color w:val="000000"/>
          <w:sz w:val="20"/>
          <w:szCs w:val="20"/>
        </w:rPr>
        <w:t xml:space="preserve"> Current employment details including employer name, business address, job title, nature of work responsibilities, and length of employment. For self-employed individuals, detailed description of business activities, industry classification, and professional licenses or certifications.</w:t>
      </w:r>
    </w:p>
    <w:p w14:paraId="3F15CFCA"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Additional Requirements for Entity Customers:</w:t>
      </w:r>
      <w:r w:rsidRPr="00321B58">
        <w:rPr>
          <w:rFonts w:ascii="Arial" w:eastAsia="inter" w:hAnsi="Arial" w:cs="Arial"/>
          <w:color w:val="000000"/>
          <w:sz w:val="20"/>
          <w:szCs w:val="20"/>
        </w:rPr>
        <w:br/>
      </w:r>
      <w:r w:rsidRPr="00321B58">
        <w:rPr>
          <w:rFonts w:ascii="Arial" w:eastAsia="inter" w:hAnsi="Arial" w:cs="Arial"/>
          <w:b/>
          <w:color w:val="000000"/>
          <w:sz w:val="20"/>
          <w:szCs w:val="20"/>
        </w:rPr>
        <w:t>Date of Formation:</w:t>
      </w:r>
      <w:r w:rsidRPr="00321B58">
        <w:rPr>
          <w:rFonts w:ascii="Arial" w:eastAsia="inter" w:hAnsi="Arial" w:cs="Arial"/>
          <w:color w:val="000000"/>
          <w:sz w:val="20"/>
          <w:szCs w:val="20"/>
        </w:rPr>
        <w:t xml:space="preserve"> Legal formation date of the entity as documented in formation documents and government registration records. Verification must include confirmation through certified documents from formation jurisdiction.</w:t>
      </w:r>
    </w:p>
    <w:p w14:paraId="42D14C4D"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Jurisdiction of Formation:</w:t>
      </w:r>
      <w:r w:rsidRPr="00321B58">
        <w:rPr>
          <w:rFonts w:ascii="Arial" w:eastAsia="inter" w:hAnsi="Arial" w:cs="Arial"/>
          <w:color w:val="000000"/>
          <w:sz w:val="20"/>
          <w:szCs w:val="20"/>
        </w:rPr>
        <w:t xml:space="preserve"> State, province, or country where entity was legally formed or incorporated, including specific registration authority and jurisdiction-specific requirements. Documentation must include verification of current good standing and compliance with formation jurisdiction requirements.</w:t>
      </w:r>
    </w:p>
    <w:p w14:paraId="72691098"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Legal Entity Type:</w:t>
      </w:r>
      <w:r w:rsidRPr="00321B58">
        <w:rPr>
          <w:rFonts w:ascii="Arial" w:eastAsia="inter" w:hAnsi="Arial" w:cs="Arial"/>
          <w:color w:val="000000"/>
          <w:sz w:val="20"/>
          <w:szCs w:val="20"/>
        </w:rPr>
        <w:t xml:space="preserve"> Specific legal structure including Corporation (C-Corp, S-Corp, Professional Corporation), Limited Liability Company (single-member, multi-member, manager-managed, member-managed), Partnership (general, limited, limited liability partnership), Trust (revocable, irrevocable, business trust), or other specialized entity types including nonprofit organizations, government entities, and foreign entity equivalents.</w:t>
      </w:r>
    </w:p>
    <w:p w14:paraId="43AE8344"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Registration Numbers:</w:t>
      </w:r>
      <w:r w:rsidRPr="00321B58">
        <w:rPr>
          <w:rFonts w:ascii="Arial" w:eastAsia="inter" w:hAnsi="Arial" w:cs="Arial"/>
          <w:color w:val="000000"/>
          <w:sz w:val="20"/>
          <w:szCs w:val="20"/>
        </w:rPr>
        <w:t xml:space="preserve"> Corporate registration numbers, tax identification numbers, business license numbers, and other government-issued identification numbers. Verification must include confirmation of number validity and </w:t>
      </w:r>
      <w:proofErr w:type="gramStart"/>
      <w:r w:rsidRPr="00321B58">
        <w:rPr>
          <w:rFonts w:ascii="Arial" w:eastAsia="inter" w:hAnsi="Arial" w:cs="Arial"/>
          <w:color w:val="000000"/>
          <w:sz w:val="20"/>
          <w:szCs w:val="20"/>
        </w:rPr>
        <w:t>current status</w:t>
      </w:r>
      <w:proofErr w:type="gramEnd"/>
      <w:r w:rsidRPr="00321B58">
        <w:rPr>
          <w:rFonts w:ascii="Arial" w:eastAsia="inter" w:hAnsi="Arial" w:cs="Arial"/>
          <w:color w:val="000000"/>
          <w:sz w:val="20"/>
          <w:szCs w:val="20"/>
        </w:rPr>
        <w:t xml:space="preserve"> with issuing authorities.</w:t>
      </w:r>
    </w:p>
    <w:p w14:paraId="18EE9ED9"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Nature of Business:</w:t>
      </w:r>
      <w:r w:rsidRPr="00321B58">
        <w:rPr>
          <w:rFonts w:ascii="Arial" w:eastAsia="inter" w:hAnsi="Arial" w:cs="Arial"/>
          <w:color w:val="000000"/>
          <w:sz w:val="20"/>
          <w:szCs w:val="20"/>
        </w:rPr>
        <w:t xml:space="preserve"> Detailed description of primary business activities including products and services offered, industry classification codes, target markets and customer base, revenue sources and business model description, and geographic scope of operations.</w:t>
      </w:r>
    </w:p>
    <w:p w14:paraId="1550A7D4"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Method of Verification Requirements</w:t>
      </w:r>
    </w:p>
    <w:p w14:paraId="52431DF2"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Bank X maintains comprehensive procedures detailing the methods used to verify customer identity information, including documentation of verification processes and results. Verification methods include documentary verification, non-documentary verification, or a combination of both approaches based on risk assessment and available information sources.</w:t>
      </w:r>
    </w:p>
    <w:p w14:paraId="73E0B403"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Documentary Verification Requirements:</w:t>
      </w:r>
      <w:r w:rsidRPr="00321B58">
        <w:rPr>
          <w:rFonts w:ascii="Arial" w:eastAsia="inter" w:hAnsi="Arial" w:cs="Arial"/>
          <w:color w:val="000000"/>
          <w:sz w:val="20"/>
          <w:szCs w:val="20"/>
        </w:rPr>
        <w:br/>
        <w:t>For each document used in identity verification, Bank X must record and maintain complete documentation including type of document reviewed with specific identification of document category and format, identification number contained on the document with verification of number format and validity, place of issuance including issuing authority, government agency, or jurisdiction responsible for document creation, issuance date and expiration date when applicable with verification of current validity status, and comprehensive description of document security features and authentication characteristics.</w:t>
      </w:r>
    </w:p>
    <w:p w14:paraId="0E66D4E6"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lastRenderedPageBreak/>
        <w:t>Required Documentation Elements:</w:t>
      </w:r>
      <w:r w:rsidRPr="00321B58">
        <w:rPr>
          <w:rFonts w:ascii="Arial" w:eastAsia="inter" w:hAnsi="Arial" w:cs="Arial"/>
          <w:color w:val="000000"/>
          <w:sz w:val="20"/>
          <w:szCs w:val="20"/>
        </w:rPr>
        <w:br/>
      </w:r>
      <w:r w:rsidRPr="00321B58">
        <w:rPr>
          <w:rFonts w:ascii="Arial" w:eastAsia="inter" w:hAnsi="Arial" w:cs="Arial"/>
          <w:b/>
          <w:color w:val="000000"/>
          <w:sz w:val="20"/>
          <w:szCs w:val="20"/>
        </w:rPr>
        <w:t>Type of Document:</w:t>
      </w:r>
      <w:r w:rsidRPr="00321B58">
        <w:rPr>
          <w:rFonts w:ascii="Arial" w:eastAsia="inter" w:hAnsi="Arial" w:cs="Arial"/>
          <w:color w:val="000000"/>
          <w:sz w:val="20"/>
          <w:szCs w:val="20"/>
        </w:rPr>
        <w:t xml:space="preserve"> Specific identification document type including driver's license with state of issuance and license class, passport with country of issuance and passport type, state identification card with issuing state and card type, military identification with branch of service and identification type, or other government-issued photo identification with detailed description of document characteristics and issuing authority verification.</w:t>
      </w:r>
    </w:p>
    <w:p w14:paraId="1A022E22"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Identification Number:</w:t>
      </w:r>
      <w:r w:rsidRPr="00321B58">
        <w:rPr>
          <w:rFonts w:ascii="Arial" w:eastAsia="inter" w:hAnsi="Arial" w:cs="Arial"/>
          <w:color w:val="000000"/>
          <w:sz w:val="20"/>
          <w:szCs w:val="20"/>
        </w:rPr>
        <w:t xml:space="preserve"> Complete document number or identification number contained on the document with verification of number format compliance with issuing authority standards, confirmation of number validity through available verification systems, and cross-reference verification with customer-provided information for consistency and accuracy.</w:t>
      </w:r>
    </w:p>
    <w:p w14:paraId="60B09921"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Place of Issuance:</w:t>
      </w:r>
      <w:r w:rsidRPr="00321B58">
        <w:rPr>
          <w:rFonts w:ascii="Arial" w:eastAsia="inter" w:hAnsi="Arial" w:cs="Arial"/>
          <w:color w:val="000000"/>
          <w:sz w:val="20"/>
          <w:szCs w:val="20"/>
        </w:rPr>
        <w:t xml:space="preserve"> Detailed identification of issuing </w:t>
      </w:r>
      <w:proofErr w:type="gramStart"/>
      <w:r w:rsidRPr="00321B58">
        <w:rPr>
          <w:rFonts w:ascii="Arial" w:eastAsia="inter" w:hAnsi="Arial" w:cs="Arial"/>
          <w:color w:val="000000"/>
          <w:sz w:val="20"/>
          <w:szCs w:val="20"/>
        </w:rPr>
        <w:t>authority</w:t>
      </w:r>
      <w:proofErr w:type="gramEnd"/>
      <w:r w:rsidRPr="00321B58">
        <w:rPr>
          <w:rFonts w:ascii="Arial" w:eastAsia="inter" w:hAnsi="Arial" w:cs="Arial"/>
          <w:color w:val="000000"/>
          <w:sz w:val="20"/>
          <w:szCs w:val="20"/>
        </w:rPr>
        <w:t xml:space="preserve"> including government agency, jurisdiction, or other authorized entity responsible for document creation and issuance. Verification must include confirmation of issuing authority legitimacy and current authorization to issue specific document types.</w:t>
      </w:r>
    </w:p>
    <w:p w14:paraId="71EF6B77"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Issuance Date and Expiration Date:</w:t>
      </w:r>
      <w:r w:rsidRPr="00321B58">
        <w:rPr>
          <w:rFonts w:ascii="Arial" w:eastAsia="inter" w:hAnsi="Arial" w:cs="Arial"/>
          <w:color w:val="000000"/>
          <w:sz w:val="20"/>
          <w:szCs w:val="20"/>
        </w:rPr>
        <w:t xml:space="preserve"> Complete dates including month, day, and year for both issuance and expiration when applicable. Verification must confirm document currency and validity status with additional verification for documents approaching expiration or recently renewed.</w:t>
      </w:r>
    </w:p>
    <w:p w14:paraId="08FAA454"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Acceptable Documentary Verification for Individual Customers:</w:t>
      </w:r>
      <w:r w:rsidRPr="00321B58">
        <w:rPr>
          <w:rFonts w:ascii="Arial" w:eastAsia="inter" w:hAnsi="Arial" w:cs="Arial"/>
          <w:color w:val="000000"/>
          <w:sz w:val="20"/>
          <w:szCs w:val="20"/>
        </w:rPr>
        <w:br/>
      </w:r>
      <w:r w:rsidRPr="00321B58">
        <w:rPr>
          <w:rFonts w:ascii="Arial" w:eastAsia="inter" w:hAnsi="Arial" w:cs="Arial"/>
          <w:b/>
          <w:color w:val="000000"/>
          <w:sz w:val="20"/>
          <w:szCs w:val="20"/>
        </w:rPr>
        <w:t>Primary Government-Issued Photo Identification:</w:t>
      </w:r>
      <w:r w:rsidRPr="00321B58">
        <w:rPr>
          <w:rFonts w:ascii="Arial" w:eastAsia="inter" w:hAnsi="Arial" w:cs="Arial"/>
          <w:color w:val="000000"/>
          <w:sz w:val="20"/>
          <w:szCs w:val="20"/>
        </w:rPr>
        <w:t xml:space="preserve"> United States driver's license that is valid and unexpired with verification of state issuance and security features, United States state identification card with confirmation of issuing state and document authenticity, United States passport or passport card with verification of federal issuance and security features, military identification card with photograph including verification of branch of service and current military status, alien registration card or permanent resident card with verification of immigration status and document authenticity.</w:t>
      </w:r>
    </w:p>
    <w:p w14:paraId="127ED3CE"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Foreign Government-Issued Identification:</w:t>
      </w:r>
      <w:r w:rsidRPr="00321B58">
        <w:rPr>
          <w:rFonts w:ascii="Arial" w:eastAsia="inter" w:hAnsi="Arial" w:cs="Arial"/>
          <w:color w:val="000000"/>
          <w:sz w:val="20"/>
          <w:szCs w:val="20"/>
        </w:rPr>
        <w:t xml:space="preserve"> Foreign passport with appropriate visa documentation and entry stamp verification, foreign driver's license with additional verification through consular services or other independent sources, foreign national identification card with additional documentation including translation and authentication services, and other foreign government-issued photo identification deemed acceptable by Bank X with comprehensive authentication and verification procedures.</w:t>
      </w:r>
    </w:p>
    <w:p w14:paraId="26903C89"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Acceptable Documentary Verification for Entity Customers:</w:t>
      </w:r>
      <w:r w:rsidRPr="00321B58">
        <w:rPr>
          <w:rFonts w:ascii="Arial" w:eastAsia="inter" w:hAnsi="Arial" w:cs="Arial"/>
          <w:color w:val="000000"/>
          <w:sz w:val="20"/>
          <w:szCs w:val="20"/>
        </w:rPr>
        <w:br/>
      </w:r>
      <w:r w:rsidRPr="00321B58">
        <w:rPr>
          <w:rFonts w:ascii="Arial" w:eastAsia="inter" w:hAnsi="Arial" w:cs="Arial"/>
          <w:b/>
          <w:color w:val="000000"/>
          <w:sz w:val="20"/>
          <w:szCs w:val="20"/>
        </w:rPr>
        <w:t>Formation Documents:</w:t>
      </w:r>
      <w:r w:rsidRPr="00321B58">
        <w:rPr>
          <w:rFonts w:ascii="Arial" w:eastAsia="inter" w:hAnsi="Arial" w:cs="Arial"/>
          <w:color w:val="000000"/>
          <w:sz w:val="20"/>
          <w:szCs w:val="20"/>
        </w:rPr>
        <w:t xml:space="preserve"> Certified articles of incorporation or organization with verification of state filing and current good standing, certificate of formation or registration with confirmation of jurisdiction registration and compliance status, partnership agreement or operating agreement with legal review and authentication verification, and trust instrument or trust agreement with legal review and trustee verification.</w:t>
      </w:r>
    </w:p>
    <w:p w14:paraId="066F1E2D"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lastRenderedPageBreak/>
        <w:t>Government Registration Documents:</w:t>
      </w:r>
      <w:r w:rsidRPr="00321B58">
        <w:rPr>
          <w:rFonts w:ascii="Arial" w:eastAsia="inter" w:hAnsi="Arial" w:cs="Arial"/>
          <w:color w:val="000000"/>
          <w:sz w:val="20"/>
          <w:szCs w:val="20"/>
        </w:rPr>
        <w:t xml:space="preserve"> Business license issued by appropriate government authority with verification of licensing authority and current compliance status, certificate of good standing from formation jurisdiction with recent issuance date and authority verification, tax registration certificate or employer identification number assignment with IRS or applicable tax authority confirmation, and other government-issued documents evidencing legal existence with comprehensive verification of authority and current status.</w:t>
      </w:r>
    </w:p>
    <w:p w14:paraId="6FE565FB"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C. Non-Documentary Verification Requirements</w:t>
      </w:r>
    </w:p>
    <w:p w14:paraId="4E8652E2"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Required Non-Documentary Verification Documentation:</w:t>
      </w:r>
      <w:r w:rsidRPr="00321B58">
        <w:rPr>
          <w:rFonts w:ascii="Arial" w:eastAsia="inter" w:hAnsi="Arial" w:cs="Arial"/>
          <w:color w:val="000000"/>
          <w:sz w:val="20"/>
          <w:szCs w:val="20"/>
        </w:rPr>
        <w:br/>
        <w:t>For each non-documentary verification method utilized, Bank X must document and maintain comprehensive records including method of non-documentary verification used with detailed description of specific approach and procedures followed, information sources consulted with complete identification of databases, agencies, or other sources accessed during verification procedures, verification results obtained with specific details of information confirmed and any discrepancies identified, date of verification completion with time stamps and duration of verification procedures, and personnel responsible for conducting verification including supervisory review and approval documentation.</w:t>
      </w:r>
    </w:p>
    <w:p w14:paraId="122675F5"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Acceptable Non-Documentary Verification Methods:</w:t>
      </w:r>
      <w:r w:rsidRPr="00321B58">
        <w:rPr>
          <w:rFonts w:ascii="Arial" w:eastAsia="inter" w:hAnsi="Arial" w:cs="Arial"/>
          <w:color w:val="000000"/>
          <w:sz w:val="20"/>
          <w:szCs w:val="20"/>
        </w:rPr>
        <w:br/>
      </w:r>
      <w:r w:rsidRPr="00321B58">
        <w:rPr>
          <w:rFonts w:ascii="Arial" w:eastAsia="inter" w:hAnsi="Arial" w:cs="Arial"/>
          <w:b/>
          <w:color w:val="000000"/>
          <w:sz w:val="20"/>
          <w:szCs w:val="20"/>
        </w:rPr>
        <w:t>Government Database Verification:</w:t>
      </w:r>
      <w:r w:rsidRPr="00321B58">
        <w:rPr>
          <w:rFonts w:ascii="Arial" w:eastAsia="inter" w:hAnsi="Arial" w:cs="Arial"/>
          <w:color w:val="000000"/>
          <w:sz w:val="20"/>
          <w:szCs w:val="20"/>
        </w:rPr>
        <w:t xml:space="preserve"> Social Security Administration database verification including Social Security Number validity confirmation and death master file checking, Department of Motor Vehicles records verification including license validity and address confirmation, immigration and customs enforcement database checks including visa status and work authorization verification, and other government agency database consultations appropriate for customer type and risk profile.</w:t>
      </w:r>
    </w:p>
    <w:p w14:paraId="6887E0EA"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Commercial Database Verification:</w:t>
      </w:r>
      <w:r w:rsidRPr="00321B58">
        <w:rPr>
          <w:rFonts w:ascii="Arial" w:eastAsia="inter" w:hAnsi="Arial" w:cs="Arial"/>
          <w:color w:val="000000"/>
          <w:sz w:val="20"/>
          <w:szCs w:val="20"/>
        </w:rPr>
        <w:t xml:space="preserve"> Consumer reporting agency verification including identity verification and credit history analysis, commercial identity verification services including multi-source identity confirmation and risk scoring, public records database searches including property ownership, court records, and professional license verification, and financial institution verification including account history and banking relationship confirmation.</w:t>
      </w:r>
    </w:p>
    <w:p w14:paraId="3FCC5197"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Independent Reference Verification:</w:t>
      </w:r>
      <w:r w:rsidRPr="00321B58">
        <w:rPr>
          <w:rFonts w:ascii="Arial" w:eastAsia="inter" w:hAnsi="Arial" w:cs="Arial"/>
          <w:color w:val="000000"/>
          <w:sz w:val="20"/>
          <w:szCs w:val="20"/>
        </w:rPr>
        <w:t xml:space="preserve"> Contact with customer using previously verified contact information including telephone and email verification, verification through other financial institutions including reference letters and account confirmation, employment verification through independent contact with employers including HR department confirmation and income verification, and professional or personal reference verification including contact with identified references and relationship confirmation.</w:t>
      </w:r>
    </w:p>
    <w:p w14:paraId="1C62ECDE"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3. BASIC CUSTOMER DUE DILIGENCE FOR INDIVIDUALS</w:t>
      </w:r>
    </w:p>
    <w:p w14:paraId="1A25C06A"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Required Individual Customer Information</w:t>
      </w:r>
    </w:p>
    <w:p w14:paraId="35536C17"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lastRenderedPageBreak/>
        <w:t xml:space="preserve">Bank X collects comprehensive due diligence information for all individual customers to support effective risk assessment, ongoing monitoring, and regulatory compliance based on FFIEC BSA/AML requirements and </w:t>
      </w:r>
      <w:proofErr w:type="gramStart"/>
      <w:r w:rsidRPr="00321B58">
        <w:rPr>
          <w:rFonts w:ascii="Arial" w:eastAsia="inter" w:hAnsi="Arial" w:cs="Arial"/>
          <w:color w:val="000000"/>
          <w:sz w:val="20"/>
          <w:szCs w:val="20"/>
        </w:rPr>
        <w:t>industry best</w:t>
      </w:r>
      <w:proofErr w:type="gramEnd"/>
      <w:r w:rsidRPr="00321B58">
        <w:rPr>
          <w:rFonts w:ascii="Arial" w:eastAsia="inter" w:hAnsi="Arial" w:cs="Arial"/>
          <w:color w:val="000000"/>
          <w:sz w:val="20"/>
          <w:szCs w:val="20"/>
        </w:rPr>
        <w:t xml:space="preserve"> practices.</w:t>
      </w:r>
    </w:p>
    <w:p w14:paraId="5C667011"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Personal Background and Demographic Information:</w:t>
      </w:r>
      <w:r w:rsidRPr="00321B58">
        <w:rPr>
          <w:rFonts w:ascii="Arial" w:eastAsia="inter" w:hAnsi="Arial" w:cs="Arial"/>
          <w:color w:val="000000"/>
          <w:sz w:val="20"/>
          <w:szCs w:val="20"/>
        </w:rPr>
        <w:br/>
      </w:r>
      <w:r w:rsidRPr="00321B58">
        <w:rPr>
          <w:rFonts w:ascii="Arial" w:eastAsia="inter" w:hAnsi="Arial" w:cs="Arial"/>
          <w:b/>
          <w:color w:val="000000"/>
          <w:sz w:val="20"/>
          <w:szCs w:val="20"/>
        </w:rPr>
        <w:t>Country of Residency:</w:t>
      </w:r>
      <w:r w:rsidRPr="00321B58">
        <w:rPr>
          <w:rFonts w:ascii="Arial" w:eastAsia="inter" w:hAnsi="Arial" w:cs="Arial"/>
          <w:color w:val="000000"/>
          <w:sz w:val="20"/>
          <w:szCs w:val="20"/>
        </w:rPr>
        <w:t xml:space="preserve"> Primary country of residence with detailed address information including duration of residency and previous addresses for customers with recent relocations. Secondary residences or significant connections to other jurisdictions including vacation homes, business addresses, and family connections requiring enhanced review and risk assessment.</w:t>
      </w:r>
    </w:p>
    <w:p w14:paraId="60E6217A"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Citizenship and Immigration Status:</w:t>
      </w:r>
      <w:r w:rsidRPr="00321B58">
        <w:rPr>
          <w:rFonts w:ascii="Arial" w:eastAsia="inter" w:hAnsi="Arial" w:cs="Arial"/>
          <w:color w:val="000000"/>
          <w:sz w:val="20"/>
          <w:szCs w:val="20"/>
        </w:rPr>
        <w:t xml:space="preserve"> Complete citizenship status including naturalization information with certificate numbers and dates, visa status for foreign nationals including type of visa, expiration dates, and renewal requirements, dual citizenship arrangements with detailed documentation of multiple citizenship status and associated obligations, and immigration history including entry dates, status changes, and compliance with immigration requirements.</w:t>
      </w:r>
    </w:p>
    <w:p w14:paraId="779F3556"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Employment and Occupation Information:</w:t>
      </w:r>
      <w:r w:rsidRPr="00321B58">
        <w:rPr>
          <w:rFonts w:ascii="Arial" w:eastAsia="inter" w:hAnsi="Arial" w:cs="Arial"/>
          <w:color w:val="000000"/>
          <w:sz w:val="20"/>
          <w:szCs w:val="20"/>
        </w:rPr>
        <w:t xml:space="preserve"> Current employer name with complete business address and contact information, industry classification including NAICS codes and business description, job title and position with detailed description of work responsibilities and authority levels, length of employment including start date and employment history, nature of work responsibilities including specific duties, supervisory responsibilities, and decision-making authority, and previous employment history for high-risk customers including employment gaps and career progression analysis.</w:t>
      </w:r>
    </w:p>
    <w:p w14:paraId="31CE134A"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Financial Information and Source Verification:</w:t>
      </w:r>
      <w:r w:rsidRPr="00321B58">
        <w:rPr>
          <w:rFonts w:ascii="Arial" w:eastAsia="inter" w:hAnsi="Arial" w:cs="Arial"/>
          <w:color w:val="000000"/>
          <w:sz w:val="20"/>
          <w:szCs w:val="20"/>
        </w:rPr>
        <w:br/>
      </w:r>
      <w:r w:rsidRPr="00321B58">
        <w:rPr>
          <w:rFonts w:ascii="Arial" w:eastAsia="inter" w:hAnsi="Arial" w:cs="Arial"/>
          <w:b/>
          <w:color w:val="000000"/>
          <w:sz w:val="20"/>
          <w:szCs w:val="20"/>
        </w:rPr>
        <w:t>Source of Income:</w:t>
      </w:r>
      <w:r w:rsidRPr="00321B58">
        <w:rPr>
          <w:rFonts w:ascii="Arial" w:eastAsia="inter" w:hAnsi="Arial" w:cs="Arial"/>
          <w:color w:val="000000"/>
          <w:sz w:val="20"/>
          <w:szCs w:val="20"/>
        </w:rPr>
        <w:t xml:space="preserve"> Employment salary, wages, and compensation including base salary, bonuses, commissions, and other compensation elements with verification through pay stubs, tax returns, or employer confirmation. Business income from proprietorships or partnerships </w:t>
      </w:r>
      <w:proofErr w:type="gramStart"/>
      <w:r w:rsidRPr="00321B58">
        <w:rPr>
          <w:rFonts w:ascii="Arial" w:eastAsia="inter" w:hAnsi="Arial" w:cs="Arial"/>
          <w:color w:val="000000"/>
          <w:sz w:val="20"/>
          <w:szCs w:val="20"/>
        </w:rPr>
        <w:t>including</w:t>
      </w:r>
      <w:proofErr w:type="gramEnd"/>
      <w:r w:rsidRPr="00321B58">
        <w:rPr>
          <w:rFonts w:ascii="Arial" w:eastAsia="inter" w:hAnsi="Arial" w:cs="Arial"/>
          <w:color w:val="000000"/>
          <w:sz w:val="20"/>
          <w:szCs w:val="20"/>
        </w:rPr>
        <w:t xml:space="preserve"> detailed business description, revenue sources, and </w:t>
      </w:r>
      <w:proofErr w:type="gramStart"/>
      <w:r w:rsidRPr="00321B58">
        <w:rPr>
          <w:rFonts w:ascii="Arial" w:eastAsia="inter" w:hAnsi="Arial" w:cs="Arial"/>
          <w:color w:val="000000"/>
          <w:sz w:val="20"/>
          <w:szCs w:val="20"/>
        </w:rPr>
        <w:t>profit sharing</w:t>
      </w:r>
      <w:proofErr w:type="gramEnd"/>
      <w:r w:rsidRPr="00321B58">
        <w:rPr>
          <w:rFonts w:ascii="Arial" w:eastAsia="inter" w:hAnsi="Arial" w:cs="Arial"/>
          <w:color w:val="000000"/>
          <w:sz w:val="20"/>
          <w:szCs w:val="20"/>
        </w:rPr>
        <w:t xml:space="preserve"> arrangements. Investment income from securities, real estate, or other assets including dividend income, rental income, and capital gains with supporting documentation. Retirement income from pensions, social security, or distributions including benefit statements and distribution schedules. Other income sources </w:t>
      </w:r>
      <w:proofErr w:type="gramStart"/>
      <w:r w:rsidRPr="00321B58">
        <w:rPr>
          <w:rFonts w:ascii="Arial" w:eastAsia="inter" w:hAnsi="Arial" w:cs="Arial"/>
          <w:color w:val="000000"/>
          <w:sz w:val="20"/>
          <w:szCs w:val="20"/>
        </w:rPr>
        <w:t>including</w:t>
      </w:r>
      <w:proofErr w:type="gramEnd"/>
      <w:r w:rsidRPr="00321B58">
        <w:rPr>
          <w:rFonts w:ascii="Arial" w:eastAsia="inter" w:hAnsi="Arial" w:cs="Arial"/>
          <w:color w:val="000000"/>
          <w:sz w:val="20"/>
          <w:szCs w:val="20"/>
        </w:rPr>
        <w:t xml:space="preserve"> gifts, inheritances, settlements, or other irregular income with detailed documentation and verification.</w:t>
      </w:r>
    </w:p>
    <w:p w14:paraId="49C6B8DA"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Source of Wealth:</w:t>
      </w:r>
      <w:r w:rsidRPr="00321B58">
        <w:rPr>
          <w:rFonts w:ascii="Arial" w:eastAsia="inter" w:hAnsi="Arial" w:cs="Arial"/>
          <w:color w:val="000000"/>
          <w:sz w:val="20"/>
          <w:szCs w:val="20"/>
        </w:rPr>
        <w:t xml:space="preserve"> Comprehensive documentation of accumulated wealth including asset accumulation history and significant wealth events with timeline and supporting documentation. Business ownership interests and entrepreneurial activities </w:t>
      </w:r>
      <w:proofErr w:type="gramStart"/>
      <w:r w:rsidRPr="00321B58">
        <w:rPr>
          <w:rFonts w:ascii="Arial" w:eastAsia="inter" w:hAnsi="Arial" w:cs="Arial"/>
          <w:color w:val="000000"/>
          <w:sz w:val="20"/>
          <w:szCs w:val="20"/>
        </w:rPr>
        <w:t>including</w:t>
      </w:r>
      <w:proofErr w:type="gramEnd"/>
      <w:r w:rsidRPr="00321B58">
        <w:rPr>
          <w:rFonts w:ascii="Arial" w:eastAsia="inter" w:hAnsi="Arial" w:cs="Arial"/>
          <w:color w:val="000000"/>
          <w:sz w:val="20"/>
          <w:szCs w:val="20"/>
        </w:rPr>
        <w:t xml:space="preserve"> business valuations, ownership percentages, and exit strategies. Investment portfolio development and performance including investment statements, asset allocation, and performance history. Inheritance, gifts, or other wealth transfers including estate documentation, gift tax returns, and transfer documentation. Real estate investments and property ownership including property deeds, appraisals, and mortgage documentation.</w:t>
      </w:r>
    </w:p>
    <w:p w14:paraId="67AE5B29"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lastRenderedPageBreak/>
        <w:t>Account-Level Due Diligence Requirements:</w:t>
      </w:r>
      <w:r w:rsidRPr="00321B58">
        <w:rPr>
          <w:rFonts w:ascii="Arial" w:eastAsia="inter" w:hAnsi="Arial" w:cs="Arial"/>
          <w:color w:val="000000"/>
          <w:sz w:val="20"/>
          <w:szCs w:val="20"/>
        </w:rPr>
        <w:br/>
      </w:r>
      <w:r w:rsidRPr="00321B58">
        <w:rPr>
          <w:rFonts w:ascii="Arial" w:eastAsia="inter" w:hAnsi="Arial" w:cs="Arial"/>
          <w:b/>
          <w:color w:val="000000"/>
          <w:sz w:val="20"/>
          <w:szCs w:val="20"/>
        </w:rPr>
        <w:t>Purpose of Account:</w:t>
      </w:r>
      <w:r w:rsidRPr="00321B58">
        <w:rPr>
          <w:rFonts w:ascii="Arial" w:eastAsia="inter" w:hAnsi="Arial" w:cs="Arial"/>
          <w:color w:val="000000"/>
          <w:sz w:val="20"/>
          <w:szCs w:val="20"/>
        </w:rPr>
        <w:t xml:space="preserve"> Personal banking for salary, expenses, and household financial management including detailed explanation of anticipated account usage and transaction patterns. Business operations for sole proprietorship or professional practice activities including business plan summary and expected commercial activity. Investment activities for securities trading, portfolio management, or wealth preservation </w:t>
      </w:r>
      <w:proofErr w:type="gramStart"/>
      <w:r w:rsidRPr="00321B58">
        <w:rPr>
          <w:rFonts w:ascii="Arial" w:eastAsia="inter" w:hAnsi="Arial" w:cs="Arial"/>
          <w:color w:val="000000"/>
          <w:sz w:val="20"/>
          <w:szCs w:val="20"/>
        </w:rPr>
        <w:t>including</w:t>
      </w:r>
      <w:proofErr w:type="gramEnd"/>
      <w:r w:rsidRPr="00321B58">
        <w:rPr>
          <w:rFonts w:ascii="Arial" w:eastAsia="inter" w:hAnsi="Arial" w:cs="Arial"/>
          <w:color w:val="000000"/>
          <w:sz w:val="20"/>
          <w:szCs w:val="20"/>
        </w:rPr>
        <w:t xml:space="preserve"> investment strategy and risk tolerance assessment. Savings and wealth accumulation for retirement, education, or other long-term goals including savings objectives and timeline for goal achievement. International activities for cross-border transactions or foreign investment including detailed explanation of international business or investment activities.</w:t>
      </w:r>
    </w:p>
    <w:p w14:paraId="26EC172D" w14:textId="77777777" w:rsidR="008139C9" w:rsidRPr="00321B58" w:rsidRDefault="008139C9" w:rsidP="008139C9">
      <w:pPr>
        <w:spacing w:after="210" w:line="360" w:lineRule="auto"/>
        <w:rPr>
          <w:rFonts w:ascii="Arial" w:eastAsia="inter" w:hAnsi="Arial" w:cs="Arial"/>
          <w:color w:val="000000"/>
          <w:sz w:val="20"/>
          <w:szCs w:val="20"/>
        </w:rPr>
      </w:pPr>
      <w:r w:rsidRPr="00321B58">
        <w:rPr>
          <w:rFonts w:ascii="Arial" w:eastAsia="inter" w:hAnsi="Arial" w:cs="Arial"/>
          <w:b/>
          <w:color w:val="000000"/>
          <w:sz w:val="20"/>
          <w:szCs w:val="20"/>
        </w:rPr>
        <w:t>Expected Account Activity:</w:t>
      </w:r>
      <w:r w:rsidRPr="00321B58">
        <w:rPr>
          <w:rFonts w:ascii="Arial" w:eastAsia="inter" w:hAnsi="Arial" w:cs="Arial"/>
          <w:color w:val="000000"/>
          <w:sz w:val="20"/>
          <w:szCs w:val="20"/>
        </w:rPr>
        <w:t xml:space="preserve"> Expected deposit frequency, amounts, and sources including salary deposits, business revenue, investment returns, and other regular deposits with detailed scheduling and amount projections. Expected withdrawal patterns and payment activities including recurring payments, discretionary spending, and irregular withdrawal needs. International wire transfer expectations and destinations including frequency, amounts, counterparty countries, and business purposes. Cash deposit and withdrawal patterns including frequency, amounts, and business justification for significant cash activity. Check writing and electronic payment usage including expected volumes, payment types, and technological preferences.</w:t>
      </w:r>
    </w:p>
    <w:p w14:paraId="73413E5B" w14:textId="17D89FB9" w:rsidR="0068037E" w:rsidRPr="00321B58" w:rsidRDefault="00321B58" w:rsidP="008139C9">
      <w:pPr>
        <w:spacing w:after="210" w:line="360" w:lineRule="auto"/>
        <w:rPr>
          <w:rFonts w:ascii="Arial" w:hAnsi="Arial" w:cs="Arial"/>
          <w:sz w:val="20"/>
          <w:szCs w:val="20"/>
        </w:rPr>
      </w:pPr>
      <w:r w:rsidRPr="00321B58">
        <w:rPr>
          <w:rFonts w:ascii="Arial" w:hAnsi="Arial" w:cs="Arial"/>
          <w:b/>
          <w:bCs/>
          <w:sz w:val="20"/>
          <w:szCs w:val="20"/>
        </w:rPr>
        <w:t>Authorized Signers on New Accounts:</w:t>
      </w:r>
      <w:r w:rsidRPr="00321B58">
        <w:rPr>
          <w:rFonts w:ascii="Arial" w:hAnsi="Arial" w:cs="Arial"/>
          <w:sz w:val="20"/>
          <w:szCs w:val="20"/>
        </w:rPr>
        <w:t xml:space="preserve"> For all new individual accounts, Bank X records the full legal name(s) of all authorized signers and their capacity or role (e.g., joint owner, authorized signer, agent under power of attorney), retains documentary or electronic evidence of signing authority within the customer file, links each signer to the specific account and customer record with effective dates and any applicable authorization limits, and applies Customer Identification Program requirements to each signer as appropriate, documenting the verification method used (documentary, non-documentary, or combined) and the sources consulted.</w:t>
      </w:r>
    </w:p>
    <w:p w14:paraId="4A41E6AC"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4. BASIC CUSTOMER DUE DILIGENCE FOR ENTITIES</w:t>
      </w:r>
    </w:p>
    <w:p w14:paraId="5D3B3FB5"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Required Entity Customer Information</w:t>
      </w:r>
    </w:p>
    <w:p w14:paraId="4507D9D2"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Entity Formation and Legal Information:</w:t>
      </w:r>
      <w:r w:rsidRPr="00321B58">
        <w:rPr>
          <w:rFonts w:ascii="Arial" w:eastAsia="inter" w:hAnsi="Arial" w:cs="Arial"/>
          <w:color w:val="000000"/>
          <w:sz w:val="20"/>
          <w:szCs w:val="20"/>
        </w:rPr>
        <w:br/>
      </w:r>
      <w:r w:rsidRPr="00321B58">
        <w:rPr>
          <w:rFonts w:ascii="Arial" w:eastAsia="inter" w:hAnsi="Arial" w:cs="Arial"/>
          <w:b/>
          <w:color w:val="000000"/>
          <w:sz w:val="20"/>
          <w:szCs w:val="20"/>
        </w:rPr>
        <w:t>Country of Formation:</w:t>
      </w:r>
      <w:r w:rsidRPr="00321B58">
        <w:rPr>
          <w:rFonts w:ascii="Arial" w:eastAsia="inter" w:hAnsi="Arial" w:cs="Arial"/>
          <w:color w:val="000000"/>
          <w:sz w:val="20"/>
          <w:szCs w:val="20"/>
        </w:rPr>
        <w:t xml:space="preserve"> Jurisdiction where entity was legally formed including formation state, province, or country with specific registration authority identification. Registration date and formation documentation including articles of incorporation, organization documents, and government filing receipts. Corporate registration numbers and identifiers including state filing numbers, federal tax identification numbers, and other government-assigned identifiers. Legal status and good standing verification including current certificates of good standing, tax compliance certificates, and regulatory compliance documentation.</w:t>
      </w:r>
    </w:p>
    <w:p w14:paraId="593C29AD"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"Doing Business As" Names:</w:t>
      </w:r>
      <w:r w:rsidRPr="00321B58">
        <w:rPr>
          <w:rFonts w:ascii="Arial" w:eastAsia="inter" w:hAnsi="Arial" w:cs="Arial"/>
          <w:color w:val="000000"/>
          <w:sz w:val="20"/>
          <w:szCs w:val="20"/>
        </w:rPr>
        <w:t xml:space="preserve"> Complete list of all names under which entity operates including registered trade names, assumed names, and marketing identifications. Registration jurisdictions for each </w:t>
      </w:r>
      <w:r w:rsidRPr="00321B58">
        <w:rPr>
          <w:rFonts w:ascii="Arial" w:eastAsia="inter" w:hAnsi="Arial" w:cs="Arial"/>
          <w:color w:val="000000"/>
          <w:sz w:val="20"/>
          <w:szCs w:val="20"/>
        </w:rPr>
        <w:lastRenderedPageBreak/>
        <w:t>name including state or local registration requirements and compliance status. Marketing names and brand identifications used in customer communications and business operations. Historical name changes and previous identities including documentation of name change procedures and effective dates.</w:t>
      </w:r>
    </w:p>
    <w:p w14:paraId="7417AA43" w14:textId="77777777" w:rsidR="008139C9" w:rsidRPr="00321B58" w:rsidRDefault="008139C9" w:rsidP="008139C9">
      <w:pPr>
        <w:spacing w:after="210" w:line="360" w:lineRule="auto"/>
        <w:rPr>
          <w:rFonts w:ascii="Arial" w:eastAsia="inter" w:hAnsi="Arial" w:cs="Arial"/>
          <w:color w:val="000000"/>
          <w:sz w:val="20"/>
          <w:szCs w:val="20"/>
        </w:rPr>
      </w:pPr>
      <w:r w:rsidRPr="00321B58">
        <w:rPr>
          <w:rFonts w:ascii="Arial" w:eastAsia="inter" w:hAnsi="Arial" w:cs="Arial"/>
          <w:b/>
          <w:color w:val="000000"/>
          <w:sz w:val="20"/>
          <w:szCs w:val="20"/>
        </w:rPr>
        <w:t>Business Operations and Activity Information:</w:t>
      </w:r>
      <w:r w:rsidRPr="00321B58">
        <w:rPr>
          <w:rFonts w:ascii="Arial" w:eastAsia="inter" w:hAnsi="Arial" w:cs="Arial"/>
          <w:color w:val="000000"/>
          <w:sz w:val="20"/>
          <w:szCs w:val="20"/>
        </w:rPr>
        <w:br/>
      </w:r>
      <w:r w:rsidRPr="00321B58">
        <w:rPr>
          <w:rFonts w:ascii="Arial" w:eastAsia="inter" w:hAnsi="Arial" w:cs="Arial"/>
          <w:b/>
          <w:color w:val="000000"/>
          <w:sz w:val="20"/>
          <w:szCs w:val="20"/>
        </w:rPr>
        <w:t>Nature of Business Activities:</w:t>
      </w:r>
      <w:r w:rsidRPr="00321B58">
        <w:rPr>
          <w:rFonts w:ascii="Arial" w:eastAsia="inter" w:hAnsi="Arial" w:cs="Arial"/>
          <w:color w:val="000000"/>
          <w:sz w:val="20"/>
          <w:szCs w:val="20"/>
        </w:rPr>
        <w:t xml:space="preserve"> Comprehensive description of business operations including primary products and services offered with detailed descriptions of business model and value proposition. Industry classification and regulatory oversight including NAICS codes, regulatory agency jurisdiction, and compliance requirements. Market focus and customer base characteristics including target demographics, geographic markets, and customer acquisition strategies. Revenue sources and business model description including primary revenue streams, pricing strategies, and competitive positioning. Operating locations and geographic footprint including headquarters location, branch offices, manufacturing facilities, and other operational locations.</w:t>
      </w:r>
    </w:p>
    <w:p w14:paraId="3ED3A655" w14:textId="669508F0" w:rsidR="00321B58" w:rsidRPr="00321B58" w:rsidRDefault="00321B58" w:rsidP="008139C9">
      <w:pPr>
        <w:spacing w:after="210" w:line="360" w:lineRule="auto"/>
        <w:rPr>
          <w:rFonts w:ascii="Arial" w:hAnsi="Arial" w:cs="Arial"/>
          <w:sz w:val="20"/>
          <w:szCs w:val="20"/>
        </w:rPr>
      </w:pPr>
      <w:r w:rsidRPr="00321B58">
        <w:rPr>
          <w:rFonts w:ascii="Arial" w:hAnsi="Arial" w:cs="Arial"/>
          <w:b/>
          <w:bCs/>
          <w:sz w:val="20"/>
          <w:szCs w:val="20"/>
        </w:rPr>
        <w:t>Parent Company Information:</w:t>
      </w:r>
      <w:r w:rsidRPr="00321B58">
        <w:rPr>
          <w:rFonts w:ascii="Arial" w:hAnsi="Arial" w:cs="Arial"/>
          <w:sz w:val="20"/>
          <w:szCs w:val="20"/>
        </w:rPr>
        <w:t xml:space="preserve"> Bank X records the legal name of the immediate parent company and, where different, the ultimate parent, including jurisdiction of incorporation or formation, any available registration identifiers (e.g., tax identification number or LEI), the ownership percentage and/or nature of control over the customer entity, and a concise description of the ownership chain sufficient to understand control relationships; where no parent company exists, the record clearly states “No parent company” with a brief basis for that determination.</w:t>
      </w:r>
    </w:p>
    <w:p w14:paraId="4AEBB311"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Account-Level Due Diligence Requirements</w:t>
      </w:r>
    </w:p>
    <w:p w14:paraId="4F416E37"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Account Purpose and Business Relationship Information:</w:t>
      </w:r>
      <w:r w:rsidRPr="00321B58">
        <w:rPr>
          <w:rFonts w:ascii="Arial" w:eastAsia="inter" w:hAnsi="Arial" w:cs="Arial"/>
          <w:color w:val="000000"/>
          <w:sz w:val="20"/>
          <w:szCs w:val="20"/>
        </w:rPr>
        <w:br/>
      </w:r>
      <w:r w:rsidRPr="00321B58">
        <w:rPr>
          <w:rFonts w:ascii="Arial" w:eastAsia="inter" w:hAnsi="Arial" w:cs="Arial"/>
          <w:b/>
          <w:color w:val="000000"/>
          <w:sz w:val="20"/>
          <w:szCs w:val="20"/>
        </w:rPr>
        <w:t>Purpose of Account Relationship:</w:t>
      </w:r>
      <w:r w:rsidRPr="00321B58">
        <w:rPr>
          <w:rFonts w:ascii="Arial" w:eastAsia="inter" w:hAnsi="Arial" w:cs="Arial"/>
          <w:color w:val="000000"/>
          <w:sz w:val="20"/>
          <w:szCs w:val="20"/>
        </w:rPr>
        <w:t xml:space="preserve"> Operating account for business expenses and revenue processing including detailed explanation of daily cash flow management and operational banking needs. Payroll account for employee compensation and benefits including number of employees, payroll frequency, and benefit program administration. Investment account for surplus fund management and growth including investment strategy, risk tolerance, and liquidity requirements. Transaction account for customer payment processing including payment methods, transaction volumes, and settlement procedures. International account for cross-border business activities including international trade, foreign subsidiary support, and currency hedging activities.</w:t>
      </w:r>
    </w:p>
    <w:p w14:paraId="1C2E020F" w14:textId="77777777" w:rsidR="008139C9" w:rsidRPr="00321B58" w:rsidRDefault="008139C9" w:rsidP="008139C9">
      <w:pPr>
        <w:spacing w:after="210" w:line="360" w:lineRule="auto"/>
        <w:rPr>
          <w:rFonts w:ascii="Arial" w:eastAsia="inter" w:hAnsi="Arial" w:cs="Arial"/>
          <w:color w:val="000000"/>
          <w:sz w:val="20"/>
          <w:szCs w:val="20"/>
        </w:rPr>
      </w:pPr>
      <w:r w:rsidRPr="00321B58">
        <w:rPr>
          <w:rFonts w:ascii="Arial" w:eastAsia="inter" w:hAnsi="Arial" w:cs="Arial"/>
          <w:b/>
          <w:color w:val="000000"/>
          <w:sz w:val="20"/>
          <w:szCs w:val="20"/>
        </w:rPr>
        <w:t>Expected Transaction Activity:</w:t>
      </w:r>
      <w:r w:rsidRPr="00321B58">
        <w:rPr>
          <w:rFonts w:ascii="Arial" w:eastAsia="inter" w:hAnsi="Arial" w:cs="Arial"/>
          <w:color w:val="000000"/>
          <w:sz w:val="20"/>
          <w:szCs w:val="20"/>
        </w:rPr>
        <w:t xml:space="preserve"> Daily operating cash flow patterns including revenue collection timing, expense payment schedules, and seasonal variations in business activity. Payroll processing requirements including payroll dates, direct deposit arrangements, and tax withholding procedures. Customer payment processing volumes including payment methods accepted, transaction processing requirements, and settlement timeframes. Vendor payment patterns including accounts payable procedures, payment terms, and supplier relationship management. International wire transfer requirements including frequency, destinations, amounts, and business purposes for international transactions.</w:t>
      </w:r>
    </w:p>
    <w:p w14:paraId="460B6415" w14:textId="02D8620B" w:rsidR="00321B58" w:rsidRPr="00321B58" w:rsidRDefault="00321B58" w:rsidP="008139C9">
      <w:pPr>
        <w:spacing w:after="210" w:line="360" w:lineRule="auto"/>
        <w:rPr>
          <w:rFonts w:ascii="Arial" w:hAnsi="Arial" w:cs="Arial"/>
          <w:sz w:val="20"/>
          <w:szCs w:val="20"/>
        </w:rPr>
      </w:pPr>
      <w:r w:rsidRPr="00321B58">
        <w:rPr>
          <w:rFonts w:ascii="Arial" w:hAnsi="Arial" w:cs="Arial"/>
          <w:b/>
          <w:bCs/>
          <w:sz w:val="20"/>
          <w:szCs w:val="20"/>
        </w:rPr>
        <w:lastRenderedPageBreak/>
        <w:t>Authorized Signers on New Accounts:</w:t>
      </w:r>
      <w:r w:rsidRPr="00321B58">
        <w:rPr>
          <w:rFonts w:ascii="Arial" w:hAnsi="Arial" w:cs="Arial"/>
          <w:sz w:val="20"/>
          <w:szCs w:val="20"/>
        </w:rPr>
        <w:t xml:space="preserve"> For all new entity accounts, Bank X records the full legal name(s), title or role, and authority type of all authorized signers, maintains documentation evidencing signing authority (e.g., board resolution, written mandate, partnership or LLC authorization, signature card, or digital authorization artifact) in the customer file, links each signer to the specific account(s) and customer record with effective dates and any limits or conditions, and applies Customer Identification Program requirements to each signer as appropriate, documenting the verification method used and the information sources consulted.</w:t>
      </w:r>
    </w:p>
    <w:p w14:paraId="2C11B744"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5. BENEFICIAL OWNERSHIP IDENTIFICATION</w:t>
      </w:r>
    </w:p>
    <w:p w14:paraId="3EB07FEC"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Comprehensive Legal Entity Customer Coverage</w:t>
      </w:r>
    </w:p>
    <w:p w14:paraId="142860DF"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Bank X implements comprehensive beneficial ownership identification procedures for all legal entity customers to identify natural persons who ultimately own or control entity operations, in accordance with the CDD Rule (31 CFR 1010.230) and FFIEC examination guidance.</w:t>
      </w:r>
    </w:p>
    <w:p w14:paraId="6C190035"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Legal Entity Categories Requiring Beneficial Ownership Identification:</w:t>
      </w:r>
      <w:r w:rsidRPr="00321B58">
        <w:rPr>
          <w:rFonts w:ascii="Arial" w:eastAsia="inter" w:hAnsi="Arial" w:cs="Arial"/>
          <w:color w:val="000000"/>
          <w:sz w:val="20"/>
          <w:szCs w:val="20"/>
        </w:rPr>
        <w:br/>
      </w:r>
      <w:r w:rsidRPr="00321B58">
        <w:rPr>
          <w:rFonts w:ascii="Arial" w:eastAsia="inter" w:hAnsi="Arial" w:cs="Arial"/>
          <w:b/>
          <w:color w:val="000000"/>
          <w:sz w:val="20"/>
          <w:szCs w:val="20"/>
        </w:rPr>
        <w:t>Domestic Entities:</w:t>
      </w:r>
      <w:r w:rsidRPr="00321B58">
        <w:rPr>
          <w:rFonts w:ascii="Arial" w:eastAsia="inter" w:hAnsi="Arial" w:cs="Arial"/>
          <w:color w:val="000000"/>
          <w:sz w:val="20"/>
          <w:szCs w:val="20"/>
        </w:rPr>
        <w:t xml:space="preserve"> All corporations, limited liability companies, partnerships, trusts, and other entities formed under United States federal or state law regardless of size, complexity, or business relationship scope. Coverage includes professional corporations, professional limited liability companies, family limited partnerships, business trusts, and other specialized domestic entity structures.</w:t>
      </w:r>
    </w:p>
    <w:p w14:paraId="1629F01C"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Foreign Entities:</w:t>
      </w:r>
      <w:r w:rsidRPr="00321B58">
        <w:rPr>
          <w:rFonts w:ascii="Arial" w:eastAsia="inter" w:hAnsi="Arial" w:cs="Arial"/>
          <w:color w:val="000000"/>
          <w:sz w:val="20"/>
          <w:szCs w:val="20"/>
        </w:rPr>
        <w:t xml:space="preserve"> Foreign corporations, companies, partnerships, trusts, and other entities conducting business in United States markets or maintaining accounts with Bank X. Foreign entity coverage includes subsidiaries of foreign entities, branch offices of foreign entities, and representative offices requiring comprehensive ownership analysis.</w:t>
      </w:r>
    </w:p>
    <w:p w14:paraId="61ED2994"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Customer Identification Program Requirements for Beneficial Owners and Control Persons</w:t>
      </w:r>
    </w:p>
    <w:p w14:paraId="6260F093"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Application of CIP Requirements:</w:t>
      </w:r>
      <w:r w:rsidRPr="00321B58">
        <w:rPr>
          <w:rFonts w:ascii="Arial" w:eastAsia="inter" w:hAnsi="Arial" w:cs="Arial"/>
          <w:color w:val="000000"/>
          <w:sz w:val="20"/>
          <w:szCs w:val="20"/>
        </w:rPr>
        <w:br/>
        <w:t>Full Customer Identification Program requirements apply to all identified beneficial owners and control persons of legal entity customers as specified in feedback requirements. Bank X must collect, verify, and maintain the same identifying information for beneficial owners and control persons as required for primary account holders.</w:t>
      </w:r>
    </w:p>
    <w:p w14:paraId="3BFA2120"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Required Information for Beneficial Owners and Control Persons:</w:t>
      </w:r>
      <w:r w:rsidRPr="00321B58">
        <w:rPr>
          <w:rFonts w:ascii="Arial" w:eastAsia="inter" w:hAnsi="Arial" w:cs="Arial"/>
          <w:color w:val="000000"/>
          <w:sz w:val="20"/>
          <w:szCs w:val="20"/>
        </w:rPr>
        <w:br/>
      </w:r>
      <w:r w:rsidRPr="00321B58">
        <w:rPr>
          <w:rFonts w:ascii="Arial" w:eastAsia="inter" w:hAnsi="Arial" w:cs="Arial"/>
          <w:b/>
          <w:color w:val="000000"/>
          <w:sz w:val="20"/>
          <w:szCs w:val="20"/>
        </w:rPr>
        <w:t>Name:</w:t>
      </w:r>
      <w:r w:rsidRPr="00321B58">
        <w:rPr>
          <w:rFonts w:ascii="Arial" w:eastAsia="inter" w:hAnsi="Arial" w:cs="Arial"/>
          <w:color w:val="000000"/>
          <w:sz w:val="20"/>
          <w:szCs w:val="20"/>
        </w:rPr>
        <w:t xml:space="preserve"> Full legal name as it appears on government-issued identification including first name, middle name or initial, last name, and any suffixes with verification through documentary or non-documentary methods consistent with individual customer CIP requirements.</w:t>
      </w:r>
    </w:p>
    <w:p w14:paraId="05D5ADC8"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lastRenderedPageBreak/>
        <w:t>Date of Birth:</w:t>
      </w:r>
      <w:r w:rsidRPr="00321B58">
        <w:rPr>
          <w:rFonts w:ascii="Arial" w:eastAsia="inter" w:hAnsi="Arial" w:cs="Arial"/>
          <w:color w:val="000000"/>
          <w:sz w:val="20"/>
          <w:szCs w:val="20"/>
        </w:rPr>
        <w:t xml:space="preserve"> Complete date of birth for all natural persons identified as beneficial owners or control persons with verification through government-issued identification documents and cross-reference verification with other collected information.</w:t>
      </w:r>
    </w:p>
    <w:p w14:paraId="71788D5F"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Address:</w:t>
      </w:r>
      <w:r w:rsidRPr="00321B58">
        <w:rPr>
          <w:rFonts w:ascii="Arial" w:eastAsia="inter" w:hAnsi="Arial" w:cs="Arial"/>
          <w:color w:val="000000"/>
          <w:sz w:val="20"/>
          <w:szCs w:val="20"/>
        </w:rPr>
        <w:t xml:space="preserve"> Residential address for beneficial owners and control persons including street address, city, state or province, postal code, and country with verification through documentary evidence or non-documentary methods consistent with individual customer requirements.</w:t>
      </w:r>
    </w:p>
    <w:p w14:paraId="38D46CCC"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Identification Number:</w:t>
      </w:r>
      <w:r w:rsidRPr="00321B58">
        <w:rPr>
          <w:rFonts w:ascii="Arial" w:eastAsia="inter" w:hAnsi="Arial" w:cs="Arial"/>
          <w:color w:val="000000"/>
          <w:sz w:val="20"/>
          <w:szCs w:val="20"/>
        </w:rPr>
        <w:t xml:space="preserve"> Social Security Number, Individual Taxpayer Identification Number, or other government-issued identification number appropriate for the jurisdiction and individual circumstances with verification of number validity and </w:t>
      </w:r>
      <w:proofErr w:type="gramStart"/>
      <w:r w:rsidRPr="00321B58">
        <w:rPr>
          <w:rFonts w:ascii="Arial" w:eastAsia="inter" w:hAnsi="Arial" w:cs="Arial"/>
          <w:color w:val="000000"/>
          <w:sz w:val="20"/>
          <w:szCs w:val="20"/>
        </w:rPr>
        <w:t>current status</w:t>
      </w:r>
      <w:proofErr w:type="gramEnd"/>
      <w:r w:rsidRPr="00321B58">
        <w:rPr>
          <w:rFonts w:ascii="Arial" w:eastAsia="inter" w:hAnsi="Arial" w:cs="Arial"/>
          <w:color w:val="000000"/>
          <w:sz w:val="20"/>
          <w:szCs w:val="20"/>
        </w:rPr>
        <w:t>.</w:t>
      </w:r>
    </w:p>
    <w:p w14:paraId="485EAE8B"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6. CIP NOTICE REQUIREMENTS</w:t>
      </w:r>
    </w:p>
    <w:p w14:paraId="735ADB91"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Customer Notice Provision Requirements</w:t>
      </w:r>
    </w:p>
    <w:p w14:paraId="7FA6380B"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Bank X provides adequate notice to all customers that information is being requested to verify their identity as required by federal law, consistent with 31 CFR 1020.220(a)(2)(</w:t>
      </w:r>
      <w:proofErr w:type="spellStart"/>
      <w:r w:rsidRPr="00321B58">
        <w:rPr>
          <w:rFonts w:ascii="Arial" w:eastAsia="inter" w:hAnsi="Arial" w:cs="Arial"/>
          <w:color w:val="000000"/>
          <w:sz w:val="20"/>
          <w:szCs w:val="20"/>
        </w:rPr>
        <w:t>i</w:t>
      </w:r>
      <w:proofErr w:type="spellEnd"/>
      <w:r w:rsidRPr="00321B58">
        <w:rPr>
          <w:rFonts w:ascii="Arial" w:eastAsia="inter" w:hAnsi="Arial" w:cs="Arial"/>
          <w:color w:val="000000"/>
          <w:sz w:val="20"/>
          <w:szCs w:val="20"/>
        </w:rPr>
        <w:t>) and FFIEC examination guidance.</w:t>
      </w:r>
    </w:p>
    <w:p w14:paraId="26C0ED44"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Notice Timing and Delivery:</w:t>
      </w:r>
      <w:r w:rsidRPr="00321B58">
        <w:rPr>
          <w:rFonts w:ascii="Arial" w:eastAsia="inter" w:hAnsi="Arial" w:cs="Arial"/>
          <w:color w:val="000000"/>
          <w:sz w:val="20"/>
          <w:szCs w:val="20"/>
        </w:rPr>
        <w:br/>
        <w:t>Notice must be provided to customers at or before account opening through clear and conspicuous delivery methods ensuring customer awareness and understanding. Multiple delivery methods may be used including oral notification, written documentation, or electronic communication appropriate for the account opening method and customer preferences.</w:t>
      </w:r>
    </w:p>
    <w:p w14:paraId="525B1980"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Standard CIP Notice Language:</w:t>
      </w:r>
      <w:r w:rsidRPr="00321B58">
        <w:rPr>
          <w:rFonts w:ascii="Arial" w:eastAsia="inter" w:hAnsi="Arial" w:cs="Arial"/>
          <w:color w:val="000000"/>
          <w:sz w:val="20"/>
          <w:szCs w:val="20"/>
        </w:rPr>
        <w:br/>
        <w:t xml:space="preserve">"To help the government fight the funding of terrorism and money laundering activities, federal law requires all financial institutions to obtain, verify, and record information that identifies each person who opens an account. What </w:t>
      </w:r>
      <w:proofErr w:type="gramStart"/>
      <w:r w:rsidRPr="00321B58">
        <w:rPr>
          <w:rFonts w:ascii="Arial" w:eastAsia="inter" w:hAnsi="Arial" w:cs="Arial"/>
          <w:color w:val="000000"/>
          <w:sz w:val="20"/>
          <w:szCs w:val="20"/>
        </w:rPr>
        <w:t>this</w:t>
      </w:r>
      <w:proofErr w:type="gramEnd"/>
      <w:r w:rsidRPr="00321B58">
        <w:rPr>
          <w:rFonts w:ascii="Arial" w:eastAsia="inter" w:hAnsi="Arial" w:cs="Arial"/>
          <w:color w:val="000000"/>
          <w:sz w:val="20"/>
          <w:szCs w:val="20"/>
        </w:rPr>
        <w:t xml:space="preserve"> </w:t>
      </w:r>
      <w:proofErr w:type="gramStart"/>
      <w:r w:rsidRPr="00321B58">
        <w:rPr>
          <w:rFonts w:ascii="Arial" w:eastAsia="inter" w:hAnsi="Arial" w:cs="Arial"/>
          <w:color w:val="000000"/>
          <w:sz w:val="20"/>
          <w:szCs w:val="20"/>
        </w:rPr>
        <w:t>means</w:t>
      </w:r>
      <w:proofErr w:type="gramEnd"/>
      <w:r w:rsidRPr="00321B58">
        <w:rPr>
          <w:rFonts w:ascii="Arial" w:eastAsia="inter" w:hAnsi="Arial" w:cs="Arial"/>
          <w:color w:val="000000"/>
          <w:sz w:val="20"/>
          <w:szCs w:val="20"/>
        </w:rPr>
        <w:t xml:space="preserve"> for you: When you open an account, we will ask for your name, address, date of birth, and other information that will allow us to identify you. We may also ask to see your driver's license or other identifying documents."</w:t>
      </w:r>
    </w:p>
    <w:p w14:paraId="0BEE2E80"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Financial Intelligence Unit (FIU) Procedures</w:t>
      </w:r>
    </w:p>
    <w:p w14:paraId="4B7AA6A9"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Suspicious Activity Reporting for Identity Verification Issues:</w:t>
      </w:r>
      <w:r w:rsidRPr="00321B58">
        <w:rPr>
          <w:rFonts w:ascii="Arial" w:eastAsia="inter" w:hAnsi="Arial" w:cs="Arial"/>
          <w:color w:val="000000"/>
          <w:sz w:val="20"/>
          <w:szCs w:val="20"/>
        </w:rPr>
        <w:br/>
        <w:t>Bank X maintains comprehensive procedures for responding to circumstances where customer identity cannot be reasonably verified and suspicious circumstances exist, ensuring appropriate coordination with law enforcement and regulatory authorities.</w:t>
      </w:r>
    </w:p>
    <w:p w14:paraId="3B588A25"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FIU Coordination Procedures:</w:t>
      </w:r>
      <w:r w:rsidRPr="00321B58">
        <w:rPr>
          <w:rFonts w:ascii="Arial" w:eastAsia="inter" w:hAnsi="Arial" w:cs="Arial"/>
          <w:color w:val="000000"/>
          <w:sz w:val="20"/>
          <w:szCs w:val="20"/>
        </w:rPr>
        <w:br/>
        <w:t xml:space="preserve">Suspicious circumstances assessment procedures for evaluating when identity verification issues may indicate suspicious activity requiring regulatory reporting through Suspicious Activity Reports. </w:t>
      </w:r>
      <w:r w:rsidRPr="00321B58">
        <w:rPr>
          <w:rFonts w:ascii="Arial" w:eastAsia="inter" w:hAnsi="Arial" w:cs="Arial"/>
          <w:color w:val="000000"/>
          <w:sz w:val="20"/>
          <w:szCs w:val="20"/>
        </w:rPr>
        <w:lastRenderedPageBreak/>
        <w:t xml:space="preserve">Documentation requirements include comprehensive records of identity verification attempts, customer responses, and suspicious circumstance analysis. Escalation procedures ensure appropriate senior management notification and oversight </w:t>
      </w:r>
      <w:proofErr w:type="gramStart"/>
      <w:r w:rsidRPr="00321B58">
        <w:rPr>
          <w:rFonts w:ascii="Arial" w:eastAsia="inter" w:hAnsi="Arial" w:cs="Arial"/>
          <w:color w:val="000000"/>
          <w:sz w:val="20"/>
          <w:szCs w:val="20"/>
        </w:rPr>
        <w:t>for</w:t>
      </w:r>
      <w:proofErr w:type="gramEnd"/>
      <w:r w:rsidRPr="00321B58">
        <w:rPr>
          <w:rFonts w:ascii="Arial" w:eastAsia="inter" w:hAnsi="Arial" w:cs="Arial"/>
          <w:color w:val="000000"/>
          <w:sz w:val="20"/>
          <w:szCs w:val="20"/>
        </w:rPr>
        <w:t xml:space="preserve"> significant identity verification concerns requiring enhanced investigation or regulatory reporting.</w:t>
      </w:r>
    </w:p>
    <w:p w14:paraId="4EB884BB"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7. IDENTITY VERIFICATION PROCEDURES</w:t>
      </w:r>
    </w:p>
    <w:p w14:paraId="17C8EB3A" w14:textId="77777777" w:rsidR="008139C9" w:rsidRPr="00321B58" w:rsidRDefault="008139C9" w:rsidP="008139C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Risk-Based Verification Approach</w:t>
      </w:r>
    </w:p>
    <w:p w14:paraId="11F4DC20"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color w:val="000000"/>
          <w:sz w:val="20"/>
          <w:szCs w:val="20"/>
        </w:rPr>
        <w:t>Bank X implements comprehensive risk-based identity verification procedures that consider multiple factors including account type and risk level assessment, method of account opening including in-person, online, telephone, or mail-based procedures, customer location and jurisdiction including domestic and international considerations, and available documentation and alternative information sources.</w:t>
      </w:r>
    </w:p>
    <w:p w14:paraId="79AD791C"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Enhanced Verification for Higher Risk:</w:t>
      </w:r>
      <w:r w:rsidRPr="00321B58">
        <w:rPr>
          <w:rFonts w:ascii="Arial" w:eastAsia="inter" w:hAnsi="Arial" w:cs="Arial"/>
          <w:color w:val="000000"/>
          <w:sz w:val="20"/>
          <w:szCs w:val="20"/>
        </w:rPr>
        <w:br/>
        <w:t>Higher risk situations requiring enhanced verification procedures include customers from high-risk geographic locations requiring additional documentation and verification, non-face-to-face account opening requiring enhanced non-documentary verification methods, politically exposed persons requiring senior management approval and enhanced due diligence, complex entity structures requiring detailed ownership analysis and verification, cash-intensive businesses requiring enhanced business verification and monitoring, and customers unable to provide standard documentation requiring alternative verification approaches.</w:t>
      </w:r>
    </w:p>
    <w:p w14:paraId="0F0C1DF0" w14:textId="77777777" w:rsidR="008139C9" w:rsidRPr="00321B58" w:rsidRDefault="008139C9" w:rsidP="008139C9">
      <w:pPr>
        <w:spacing w:after="210" w:line="360" w:lineRule="auto"/>
        <w:rPr>
          <w:rFonts w:ascii="Arial" w:hAnsi="Arial" w:cs="Arial"/>
          <w:sz w:val="20"/>
          <w:szCs w:val="20"/>
        </w:rPr>
      </w:pPr>
      <w:r w:rsidRPr="00321B58">
        <w:rPr>
          <w:rFonts w:ascii="Arial" w:eastAsia="inter" w:hAnsi="Arial" w:cs="Arial"/>
          <w:b/>
          <w:color w:val="000000"/>
          <w:sz w:val="20"/>
          <w:szCs w:val="20"/>
        </w:rPr>
        <w:t>Verification Documentation and Recordkeeping:</w:t>
      </w:r>
      <w:r w:rsidRPr="00321B58">
        <w:rPr>
          <w:rFonts w:ascii="Arial" w:eastAsia="inter" w:hAnsi="Arial" w:cs="Arial"/>
          <w:color w:val="000000"/>
          <w:sz w:val="20"/>
          <w:szCs w:val="20"/>
        </w:rPr>
        <w:br/>
        <w:t>Comprehensive documentation requirements include verification method selection rationale with risk assessment factors considered, detailed documentation of all verification procedures performed including documentary and non-documentary methods used, results of verification procedures including information confirmed and discrepancies identified, resolution of verification issues including additional procedures performed and final determination, and personnel responsible for verification including supervisory review and approval documentation.</w:t>
      </w:r>
    </w:p>
    <w:p w14:paraId="6259C437"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8. RISK-BASED CUSTOMER DUE DILIGENCE FRAMEWORK</w:t>
      </w:r>
    </w:p>
    <w:p w14:paraId="28C951BE"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Customer Risk Assessment Methodology</w:t>
      </w:r>
    </w:p>
    <w:p w14:paraId="4E519EBE"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b/>
          <w:color w:val="000000"/>
          <w:sz w:val="20"/>
          <w:szCs w:val="20"/>
        </w:rPr>
        <w:t>Comprehensive Risk Factor Analysis:</w:t>
      </w:r>
      <w:r w:rsidRPr="00321B58">
        <w:rPr>
          <w:rFonts w:ascii="Arial" w:eastAsia="inter" w:hAnsi="Arial" w:cs="Arial"/>
          <w:color w:val="000000"/>
          <w:sz w:val="20"/>
          <w:szCs w:val="20"/>
        </w:rPr>
        <w:br/>
        <w:t>Customer risk assessment utilizes standardized methodologies that evaluate multiple risk dimensions including customer type and demographics, geographic risk factors, business and industry characteristics, product and service utilization patterns, and transaction activity profiles. Risk assessment methodologies provide consistent risk rating frameworks while accommodating business line specific factors and local market characteristics necessary for effective risk management and regulatory compliance.</w:t>
      </w:r>
    </w:p>
    <w:p w14:paraId="2C43CC1F"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lastRenderedPageBreak/>
        <w:t>Customer type risk factors include individual versus entity customer classification with detailed analysis of demographic characteristics and background information, employment and income characteristics for individual customers including occupation stability and income source verification, business type and industry classification for commercial customers with comprehensive analysis of business model and operational characteristics, and regulatory status or government affiliation requiring enhanced scrutiny and specialized risk assessment procedures.</w:t>
      </w:r>
    </w:p>
    <w:p w14:paraId="3FFA86B8"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Geographic risk factors incorporate customer residence and business locations with detailed analysis of jurisdiction-specific risks and regulatory requirements, country risk assessments based on Financial Action Task Force evaluations and other international risk assessment frameworks, regional risk characteristics based on law enforcement intelligence and regulatory guidance including emerging threat assessments, and cross-border activity analysis including international transaction patterns and foreign relationship considerations.</w:t>
      </w:r>
    </w:p>
    <w:p w14:paraId="090F294C"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Product risk assessment evaluates complexity and money laundering vulnerability of requested banking products and services including risk characteristics of specific product types, transaction volume and frequency expectations based on customer profile and business requirements, international payment and transfer capabilities with enhanced scrutiny for cross-border activity, and integration with higher-risk financial services such as private banking, correspondent banking, investment services, and wealth management activities.</w:t>
      </w:r>
    </w:p>
    <w:p w14:paraId="25B00408"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Transaction risk factors include expected cash handling activities with detailed analysis of cash deposit and withdrawal patterns, cross-border transaction patterns including wire transfer activity and international payment processing, interaction with higher-risk counterparties or jurisdictions requiring enhanced monitoring and due diligence, and unusual transaction characteristics that may indicate elevated money laundering or terrorist financing risk.</w:t>
      </w:r>
    </w:p>
    <w:p w14:paraId="6C975BF4"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b/>
          <w:color w:val="000000"/>
          <w:sz w:val="20"/>
          <w:szCs w:val="20"/>
        </w:rPr>
        <w:t>Dynamic Risk Rating and Periodic Review Requirements:</w:t>
      </w:r>
      <w:r w:rsidRPr="00321B58">
        <w:rPr>
          <w:rFonts w:ascii="Arial" w:eastAsia="inter" w:hAnsi="Arial" w:cs="Arial"/>
          <w:color w:val="000000"/>
          <w:sz w:val="20"/>
          <w:szCs w:val="20"/>
        </w:rPr>
        <w:br/>
        <w:t>Customer risk ratings undergo regular reassessment based on relationship duration, transaction activity changes, adverse information identification, and regulatory guidance updates. Risk rating changes trigger appropriate modifications to monitoring and due diligence procedures including enhanced transaction monitoring for customers with elevated risk ratings and additional periodic review requirements for high-risk relationships requiring senior management oversight and approval.</w:t>
      </w:r>
    </w:p>
    <w:p w14:paraId="05AF9090"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Low-risk customers receive annual risk assessment updates with enhanced review triggered by significant account activity changes or adverse information identification through ongoing monitoring systems. Risk assessment updates include comprehensive review of customer information currency, transaction pattern analysis, and external database screening to identify any risk factor changes requiring risk rating modification or enhanced due diligence implementation.</w:t>
      </w:r>
    </w:p>
    <w:p w14:paraId="3B498D99"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 xml:space="preserve">Medium-risk customers require semi-annual risk assessment reviews with quarterly monitoring of transaction activity patterns and customer profile changes including employment status, business </w:t>
      </w:r>
      <w:r w:rsidRPr="00321B58">
        <w:rPr>
          <w:rFonts w:ascii="Arial" w:eastAsia="inter" w:hAnsi="Arial" w:cs="Arial"/>
          <w:color w:val="000000"/>
          <w:sz w:val="20"/>
          <w:szCs w:val="20"/>
        </w:rPr>
        <w:lastRenderedPageBreak/>
        <w:t>operations, and financial condition assessments. Risk assessment procedures include enhanced information collection and verification, expanded database screening and adverse media monitoring, and detailed transaction pattern analysis to identify unusual or suspicious activity requiring investigation or reporting.</w:t>
      </w:r>
    </w:p>
    <w:p w14:paraId="0FCA03A5"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 xml:space="preserve">High-risk customers undergo quarterly comprehensive risk assessment updates with ongoing transaction monitoring and immediate review of any significant relationship or activity changes. Enhanced risk assessment procedures include detailed </w:t>
      </w:r>
      <w:proofErr w:type="gramStart"/>
      <w:r w:rsidRPr="00321B58">
        <w:rPr>
          <w:rFonts w:ascii="Arial" w:eastAsia="inter" w:hAnsi="Arial" w:cs="Arial"/>
          <w:color w:val="000000"/>
          <w:sz w:val="20"/>
          <w:szCs w:val="20"/>
        </w:rPr>
        <w:t>source</w:t>
      </w:r>
      <w:proofErr w:type="gramEnd"/>
      <w:r w:rsidRPr="00321B58">
        <w:rPr>
          <w:rFonts w:ascii="Arial" w:eastAsia="inter" w:hAnsi="Arial" w:cs="Arial"/>
          <w:color w:val="000000"/>
          <w:sz w:val="20"/>
          <w:szCs w:val="20"/>
        </w:rPr>
        <w:t xml:space="preserve"> of wealth and </w:t>
      </w:r>
      <w:proofErr w:type="gramStart"/>
      <w:r w:rsidRPr="00321B58">
        <w:rPr>
          <w:rFonts w:ascii="Arial" w:eastAsia="inter" w:hAnsi="Arial" w:cs="Arial"/>
          <w:color w:val="000000"/>
          <w:sz w:val="20"/>
          <w:szCs w:val="20"/>
        </w:rPr>
        <w:t>source</w:t>
      </w:r>
      <w:proofErr w:type="gramEnd"/>
      <w:r w:rsidRPr="00321B58">
        <w:rPr>
          <w:rFonts w:ascii="Arial" w:eastAsia="inter" w:hAnsi="Arial" w:cs="Arial"/>
          <w:color w:val="000000"/>
          <w:sz w:val="20"/>
          <w:szCs w:val="20"/>
        </w:rPr>
        <w:t xml:space="preserve"> of funds verification, comprehensive beneficial ownership analysis for entity customers, expanded adverse media and sanctions screening, and regular management review and approval for relationship continuation based on risk assessment results.</w:t>
      </w:r>
    </w:p>
    <w:p w14:paraId="53FA9B58"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Risk rating methodologies incorporate feedback from transaction monitoring systems including alert patterns and investigation results, adverse media screening results and reputation risk assessment, regulatory examination findings and supervisory guidance, and law enforcement intelligence to ensure risk assessments reflect current threat environments and emerging typologies. Risk rating appeals processes allow business lines to request risk rating reviews with appropriate documentation and senior management approval when circumstances warrant consideration and risk assessment modification.</w:t>
      </w:r>
    </w:p>
    <w:p w14:paraId="502666F8"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Enhanced Due Diligence Requirements</w:t>
      </w:r>
    </w:p>
    <w:p w14:paraId="6C49166D"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b/>
          <w:color w:val="000000"/>
          <w:sz w:val="20"/>
          <w:szCs w:val="20"/>
        </w:rPr>
        <w:t>Politically Exposed Persons and High-Risk Individual Customers:</w:t>
      </w:r>
      <w:r w:rsidRPr="00321B58">
        <w:rPr>
          <w:rFonts w:ascii="Arial" w:eastAsia="inter" w:hAnsi="Arial" w:cs="Arial"/>
          <w:color w:val="000000"/>
          <w:sz w:val="20"/>
          <w:szCs w:val="20"/>
        </w:rPr>
        <w:br/>
        <w:t>Politically exposed persons including foreign government officials, immediate family members, and close business associates require enhanced due diligence procedures that exceed standard customer due diligence requirements. Enhanced due diligence includes senior management approval for relationship establishment with documented risk assessment and mitigation strategies, source of wealth and funds verification with independent confirmation through reliable sources, ongoing relationship monitoring with regular reviews and comprehensive risk reassessment, and enhanced transaction monitoring with lower alert thresholds and expanded monitoring scenarios.</w:t>
      </w:r>
    </w:p>
    <w:p w14:paraId="4AEE47BC"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Politically exposed person identification utilizes commercial databases, public records searches, and ongoing monitoring services that provide alerts when customers are identified as politically exposed persons or when their political status changes. Family member and close associate identification requires reasonable efforts to identify relationships with known politically exposed persons through available information sources and customer disclosure requirements with enhanced verification procedures.</w:t>
      </w:r>
    </w:p>
    <w:p w14:paraId="3242E61E"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 xml:space="preserve">Enhanced due diligence procedures for high-risk individual customers include detailed employment and income verification with independent confirmation through employer contact and financial documentation review, independent confirmation of source of funds for large transactions or account activities through bank statements and financial records analysis, background research using commercially available databases and public records including criminal history and litigation searches, and regular relationship </w:t>
      </w:r>
      <w:r w:rsidRPr="00321B58">
        <w:rPr>
          <w:rFonts w:ascii="Arial" w:eastAsia="inter" w:hAnsi="Arial" w:cs="Arial"/>
          <w:color w:val="000000"/>
          <w:sz w:val="20"/>
          <w:szCs w:val="20"/>
        </w:rPr>
        <w:lastRenderedPageBreak/>
        <w:t>reviews with documented assessment of continued appropriateness for banking relationship based on risk factors and account activity.</w:t>
      </w:r>
    </w:p>
    <w:p w14:paraId="4B82D92D"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b/>
          <w:color w:val="000000"/>
          <w:sz w:val="20"/>
          <w:szCs w:val="20"/>
        </w:rPr>
        <w:t>High-Risk Entity Customers and Complex Ownership Structures:</w:t>
      </w:r>
      <w:r w:rsidRPr="00321B58">
        <w:rPr>
          <w:rFonts w:ascii="Arial" w:eastAsia="inter" w:hAnsi="Arial" w:cs="Arial"/>
          <w:color w:val="000000"/>
          <w:sz w:val="20"/>
          <w:szCs w:val="20"/>
        </w:rPr>
        <w:br/>
        <w:t>Legal entity customers with complex ownership structures, operations in high-risk jurisdictions, or engagement in cash-intensive business activities require enhanced due diligence procedures that provide comprehensive understanding of business operations, ownership structures, and expected account activity patterns. Enhanced due diligence includes detailed analysis of business operations and revenue sources with independent verification through financial statements and business documentation, comprehensive beneficial ownership verification including indirect ownership relationships and control structure analysis, and ongoing monitoring of business activities and financial condition with regular assessment of operational changes.</w:t>
      </w:r>
    </w:p>
    <w:p w14:paraId="75D269BD"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Complex ownership structure analysis includes identification of all ownership layers with detailed documentation of ownership percentages and control relationships, assessment of control relationships and voting arrangements including analysis of decision-making authority and operational control, verification of legitimate business purposes for complex structures with legal and business rationale documentation, and ongoing monitoring of ownership changes and structural modifications requiring immediate notification and risk reassessment.</w:t>
      </w:r>
    </w:p>
    <w:p w14:paraId="242F620F"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High-risk business activities require understanding of customer business models including detailed analysis of revenue sources and business operations, regulatory compliance status in applicable industries with verification of licenses and regulatory standing, expected transaction patterns based on business model and operational requirements, and enhanced monitoring for compliance with applicable industry regulations and anti-money laundering requirements.</w:t>
      </w:r>
    </w:p>
    <w:p w14:paraId="48D1B097"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Enhanced due diligence documentation includes comprehensive customer profiles with detailed business and ownership information including organizational charts and ownership analysis, independent verification of customer representations through reliable sources including third-party verification and database confirmation, ongoing monitoring reports with analysis of account activity and business developments including transaction pattern analysis and unusual activity identification, and senior management review and approval of relationship continuation based on risk assessment results and ongoing monitoring findings.</w:t>
      </w:r>
    </w:p>
    <w:p w14:paraId="2F707436"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9. CUSTOMER INFORMATION COLLECTION AND VERIFICATION STANDARDS</w:t>
      </w:r>
    </w:p>
    <w:p w14:paraId="08270FEA"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Standardized Customer Information Requirements</w:t>
      </w:r>
    </w:p>
    <w:p w14:paraId="5D9A44BF"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 xml:space="preserve">All customer relationships require collection and maintenance of standardized customer information that supports effective risk assessment, transaction monitoring, and regulatory reporting activities. Standardized information requirements include complete customer identification information meeting regulatory requirements including name, address, date of birth, and identification number verification, </w:t>
      </w:r>
      <w:r w:rsidRPr="00321B58">
        <w:rPr>
          <w:rFonts w:ascii="Arial" w:eastAsia="inter" w:hAnsi="Arial" w:cs="Arial"/>
          <w:color w:val="000000"/>
          <w:sz w:val="20"/>
          <w:szCs w:val="20"/>
        </w:rPr>
        <w:lastRenderedPageBreak/>
        <w:t>detailed contact information including primary and secondary contact methods with verification procedures, beneficial ownership information for legal entity customers with comprehensive analysis of ownership structures, and expected account activity descriptions based on customer business or personal circumstances with detailed transaction pattern projections.</w:t>
      </w:r>
    </w:p>
    <w:p w14:paraId="024C2AD5"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Customer information collection procedures accommodate various service delivery channels including in-person, digital, and third-party origination while maintaining equivalent information quality and verification standards. Information collection forms and procedures undergo regular review and updating to ensure continued compliance with regulatory requirements and effectiveness in supporting risk management and compliance monitoring activities with consideration of emerging threats and regulatory guidance updates.</w:t>
      </w:r>
    </w:p>
    <w:p w14:paraId="3F13DFE2"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Information verification procedures utilize multiple sources including government databases, commercial verification services, and independent confirmation methods to ensure customer information accuracy and reliability. Verification procedures include cross-referencing customer information across multiple sources to identify discrepancies and ensure consistency, confirming customer information through independent contact when appropriate including telephone and email verification, and documenting verification activities and results for regulatory examination and audit purposes with comprehensive audit trail maintenance.</w:t>
      </w:r>
    </w:p>
    <w:p w14:paraId="7880A4E9"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Ongoing Customer Information Maintenance and Updates</w:t>
      </w:r>
    </w:p>
    <w:p w14:paraId="7A437E3F"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Customer information undergoes regular review and updating based on relationship risk ratings, account activity patterns, and regulatory requirements for current customer information. Information update procedures include systematic customer contact for information verification and updates including annual contact requirements for all customers, monitoring of customer circumstances and business developments through ongoing relationship management and transaction monitoring, and prompt updating of customer profiles when changes are identified through monitoring or customer notification with comprehensive documentation of changes and verification procedures.</w:t>
      </w:r>
    </w:p>
    <w:p w14:paraId="0A4F1D9E"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High-risk customers require more frequent information updates including quarterly verification of customer circumstances and business activities with enhanced documentation requirements, immediate updates when significant changes are identified through monitoring or external sources including adverse media alerts and sanctions screening, and comprehensive annual reviews of all customer information elements with independent verification and senior management approval for relationship continuation.</w:t>
      </w:r>
    </w:p>
    <w:p w14:paraId="182FEB13"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Standard and low-risk customers require annual information reviews with updates triggered by significant account activity changes or other risk indicators including unusual transaction patterns and external database alerts. Information update procedures include systematic outreach to customers for information verification, analysis of account activity patterns to identify potential risk changes, and comprehensive documentation of information update activities and results.</w:t>
      </w:r>
    </w:p>
    <w:p w14:paraId="015A05FB"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lastRenderedPageBreak/>
        <w:t xml:space="preserve">Customer information quality management includes regular data validation and cleansing activities to ensure accuracy and completeness, monitoring of information completeness and accuracy metrics with performance tracking and trend analysis, and corrective action procedures for customers with incomplete or outdated information including enhanced outreach and verification procedures. Information quality metrics include </w:t>
      </w:r>
      <w:proofErr w:type="gramStart"/>
      <w:r w:rsidRPr="00321B58">
        <w:rPr>
          <w:rFonts w:ascii="Arial" w:eastAsia="inter" w:hAnsi="Arial" w:cs="Arial"/>
          <w:color w:val="000000"/>
          <w:sz w:val="20"/>
          <w:szCs w:val="20"/>
        </w:rPr>
        <w:t>percentage</w:t>
      </w:r>
      <w:proofErr w:type="gramEnd"/>
      <w:r w:rsidRPr="00321B58">
        <w:rPr>
          <w:rFonts w:ascii="Arial" w:eastAsia="inter" w:hAnsi="Arial" w:cs="Arial"/>
          <w:color w:val="000000"/>
          <w:sz w:val="20"/>
          <w:szCs w:val="20"/>
        </w:rPr>
        <w:t xml:space="preserve"> of customers with complete required information by customer type and risk level, average age of customer information elements with tracking of staleness indicators, and </w:t>
      </w:r>
      <w:proofErr w:type="gramStart"/>
      <w:r w:rsidRPr="00321B58">
        <w:rPr>
          <w:rFonts w:ascii="Arial" w:eastAsia="inter" w:hAnsi="Arial" w:cs="Arial"/>
          <w:color w:val="000000"/>
          <w:sz w:val="20"/>
          <w:szCs w:val="20"/>
        </w:rPr>
        <w:t>percentage</w:t>
      </w:r>
      <w:proofErr w:type="gramEnd"/>
      <w:r w:rsidRPr="00321B58">
        <w:rPr>
          <w:rFonts w:ascii="Arial" w:eastAsia="inter" w:hAnsi="Arial" w:cs="Arial"/>
          <w:color w:val="000000"/>
          <w:sz w:val="20"/>
          <w:szCs w:val="20"/>
        </w:rPr>
        <w:t xml:space="preserve"> of customers contacted successfully during periodic update procedures with analysis of contact success rates and improvement opportunities.</w:t>
      </w:r>
    </w:p>
    <w:p w14:paraId="75A42BFF"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10. TECHNOLOGY AND DATA MANAGEMENT STANDARDS</w:t>
      </w:r>
    </w:p>
    <w:p w14:paraId="3638D039"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Integrated CIP/CDD Technology Architecture</w:t>
      </w:r>
    </w:p>
    <w:p w14:paraId="3C98E004"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b/>
          <w:color w:val="000000"/>
          <w:sz w:val="20"/>
          <w:szCs w:val="20"/>
        </w:rPr>
        <w:t>Enterprise-Wide Customer Data Platform:</w:t>
      </w:r>
      <w:r w:rsidRPr="00321B58">
        <w:rPr>
          <w:rFonts w:ascii="Arial" w:eastAsia="inter" w:hAnsi="Arial" w:cs="Arial"/>
          <w:color w:val="000000"/>
          <w:sz w:val="20"/>
          <w:szCs w:val="20"/>
        </w:rPr>
        <w:br/>
        <w:t>Bank X maintains integrated technology platforms that provide comprehensive customer information management, risk assessment capabilities, and regulatory reporting functionality across all business lines and geographic regions. Technology platforms support real-time customer information access with immediate availability of current customer data across all systems, automated risk assessment processing with consistent application of risk rating methodologies, comprehensive audit trail maintenance for all customer identification and due diligence activities with detailed transaction logging, and integrated regulatory reporting capabilities ensuring timely and accurate compliance reporting.</w:t>
      </w:r>
    </w:p>
    <w:p w14:paraId="4FD6D3F7"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Customer data platforms integrate information from multiple sources including account opening systems with comprehensive customer onboarding data, transaction monitoring platforms with real-time transaction analysis capabilities, external database services including government and commercial verification sources, and third-party verification providers to create comprehensive customer profiles that support effective risk management and compliance monitoring. Data integration includes automated data quality validation with real-time error detection and correction, real-time updates from external sources including sanctions and adverse media screening, and comprehensive change tracking for regulatory and audit purposes with detailed version control and approval workflows.</w:t>
      </w:r>
    </w:p>
    <w:p w14:paraId="7F8E94C0"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Technology architecture supports scalable processing capabilities that accommodate transaction volume growth, regulatory requirement changes, and new product or service introductions while maintaining consistent customer identification and due diligence standards. Platform flexibility includes configurable risk assessment parameters allowing customization for different customer types and business lines, adaptable workflow processes supporting various account opening and due diligence procedures, and integration capabilities for new technology solutions and external service providers with comprehensive API management and security controls.</w:t>
      </w:r>
    </w:p>
    <w:p w14:paraId="1BED8AC7"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b/>
          <w:color w:val="000000"/>
          <w:sz w:val="20"/>
          <w:szCs w:val="20"/>
        </w:rPr>
        <w:t>Advanced Analytics and Artificial Intelligence Applications:</w:t>
      </w:r>
      <w:r w:rsidRPr="00321B58">
        <w:rPr>
          <w:rFonts w:ascii="Arial" w:eastAsia="inter" w:hAnsi="Arial" w:cs="Arial"/>
          <w:color w:val="000000"/>
          <w:sz w:val="20"/>
          <w:szCs w:val="20"/>
        </w:rPr>
        <w:br/>
        <w:t xml:space="preserve">Customer identification and due diligence processes utilize advanced analytics and artificial intelligence </w:t>
      </w:r>
      <w:r w:rsidRPr="00321B58">
        <w:rPr>
          <w:rFonts w:ascii="Arial" w:eastAsia="inter" w:hAnsi="Arial" w:cs="Arial"/>
          <w:color w:val="000000"/>
          <w:sz w:val="20"/>
          <w:szCs w:val="20"/>
        </w:rPr>
        <w:lastRenderedPageBreak/>
        <w:t>technologies to enhance risk assessment accuracy, improve operational efficiency, and identify emerging risk patterns requiring enhanced attention. Advanced analytics applications include predictive risk modeling for early identification of potential risk escalation, behavioral pattern analysis for detection of unusual customer activity, network analysis for relationship mapping and complex ownership structure identification, and natural language processing for document analysis and adverse media screening with automated content analysis and risk scoring.</w:t>
      </w:r>
    </w:p>
    <w:p w14:paraId="02F1C60B"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Artificial intelligence applications support automated document verification with advanced image analysis and fraud detection capabilities, risk assessment processing with machine learning algorithms for continuous model improvement, and exception identification while maintaining appropriate human oversight for complex decisions and high-risk scenarios. Machine learning capabilities provide continuous improvement of risk assessment models through analysis of historical data and outcomes, reduction of false positive rates in monitoring systems through enhanced pattern recognition, and identification of emerging typologies requiring updated detection parameters with automatic model updates and validation.</w:t>
      </w:r>
    </w:p>
    <w:p w14:paraId="10474DFE"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 xml:space="preserve">Technology governance frameworks ensure appropriate oversight of artificial intelligence and machine learning applications including model validation and performance monitoring with regular assessment of model accuracy and reliability, bias detection and mitigation procedures to ensure fair and consistent treatment across customer populations, explainable decision-making capabilities for regulatory compliance including transparent risk scoring and decision logic, and human oversight requirements for high-risk decisions ensuring appropriate review and approval for significant customer determinations. Model governance includes regular performance assessment with statistical validation and </w:t>
      </w:r>
      <w:proofErr w:type="spellStart"/>
      <w:r w:rsidRPr="00321B58">
        <w:rPr>
          <w:rFonts w:ascii="Arial" w:eastAsia="inter" w:hAnsi="Arial" w:cs="Arial"/>
          <w:color w:val="000000"/>
          <w:sz w:val="20"/>
          <w:szCs w:val="20"/>
        </w:rPr>
        <w:t>backtesting</w:t>
      </w:r>
      <w:proofErr w:type="spellEnd"/>
      <w:r w:rsidRPr="00321B58">
        <w:rPr>
          <w:rFonts w:ascii="Arial" w:eastAsia="inter" w:hAnsi="Arial" w:cs="Arial"/>
          <w:color w:val="000000"/>
          <w:sz w:val="20"/>
          <w:szCs w:val="20"/>
        </w:rPr>
        <w:t>, recalibration based on outcome analysis and changing risk environments, and independent validation of model accuracy and reliability through third-party assessment and regulatory examination.</w:t>
      </w:r>
    </w:p>
    <w:p w14:paraId="1A87D362"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Data Quality and Information Security</w:t>
      </w:r>
    </w:p>
    <w:p w14:paraId="67C5135E"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b/>
          <w:color w:val="000000"/>
          <w:sz w:val="20"/>
          <w:szCs w:val="20"/>
        </w:rPr>
        <w:t>Customer Data Integrity and Quality Management:</w:t>
      </w:r>
      <w:r w:rsidRPr="00321B58">
        <w:rPr>
          <w:rFonts w:ascii="Arial" w:eastAsia="inter" w:hAnsi="Arial" w:cs="Arial"/>
          <w:color w:val="000000"/>
          <w:sz w:val="20"/>
          <w:szCs w:val="20"/>
        </w:rPr>
        <w:br/>
        <w:t>Customer information maintained within Bank X systems meets high standards for accuracy, completeness, and currency to support effective risk management and regulatory compliance activities. Data quality management includes automated validation rules that identify incomplete or inconsistent information with real-time error detection and correction capabilities, regular data cleansing activities that correct identified deficiencies through systematic data review and customer outreach, and comprehensive monitoring of data quality metrics across all customer information elements with performance tracking and trend analysis.</w:t>
      </w:r>
    </w:p>
    <w:p w14:paraId="0E84E2E8"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 xml:space="preserve">Data quality standards include minimum information completeness requirements for different customer types and risk levels with specific thresholds for required data elements, maximum acceptable age limits for customer information elements with automated alerts for outdated information, and accuracy verification procedures for critical information elements such as identification numbers and addresses </w:t>
      </w:r>
      <w:r w:rsidRPr="00321B58">
        <w:rPr>
          <w:rFonts w:ascii="Arial" w:eastAsia="inter" w:hAnsi="Arial" w:cs="Arial"/>
          <w:color w:val="000000"/>
          <w:sz w:val="20"/>
          <w:szCs w:val="20"/>
        </w:rPr>
        <w:lastRenderedPageBreak/>
        <w:t>through cross-referencing with authoritative sources. Quality management procedures include systematic data validation using external verification sources including government databases and commercial services, customer contact for information verification and updates through automated and manual outreach processes, and corrective action procedures for customers with substandard data quality including enhanced verification and documentation requirements.</w:t>
      </w:r>
    </w:p>
    <w:p w14:paraId="1B018506"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Customer information governance includes clear accountability for data quality maintenance with designated roles and responsibilities across business lines and support functions, regular assessment of data quality performance across business lines and regions with comparative analysis and best practice sharing, and continuous improvement initiatives that enhance data collection and maintenance procedures through process optimization and technology enhancement. Data quality metrics include percentage of customers meeting minimum information standards by customer segment and risk category, average information age by element type with analysis of staleness patterns and improvement opportunities, and success rates for customer contact and information verification activities with identification of barriers and enhancement strategies.</w:t>
      </w:r>
    </w:p>
    <w:p w14:paraId="2458E723"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11. REGULATORY COMPLIANCE AND EXAMINATION MANAGEMENT</w:t>
      </w:r>
    </w:p>
    <w:p w14:paraId="01A7E6C9" w14:textId="77777777" w:rsidR="00DA07D9" w:rsidRPr="00321B58" w:rsidRDefault="00DA07D9" w:rsidP="00DA07D9">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Multi-Jurisdictional Compliance Framework</w:t>
      </w:r>
    </w:p>
    <w:p w14:paraId="214D61EC"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b/>
          <w:color w:val="000000"/>
          <w:sz w:val="20"/>
          <w:szCs w:val="20"/>
        </w:rPr>
        <w:t>Global Regulatory Requirement Integration:</w:t>
      </w:r>
      <w:r w:rsidRPr="00321B58">
        <w:rPr>
          <w:rFonts w:ascii="Arial" w:eastAsia="inter" w:hAnsi="Arial" w:cs="Arial"/>
          <w:color w:val="000000"/>
          <w:sz w:val="20"/>
          <w:szCs w:val="20"/>
        </w:rPr>
        <w:br/>
        <w:t>Bank X CIP/CDD standards integrate regulatory requirements from all operating jurisdictions while establishing global minimum standards that exceed the highest regulatory requirements in any single jurisdiction. Regulatory compliance frameworks accommodate variations in local requirements while maintaining consistent global standards for customer identification, risk assessment, and due diligence procedures ensuring uniform application of controls across all operations.</w:t>
      </w:r>
    </w:p>
    <w:p w14:paraId="30B2575B"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Regulatory monitoring includes systematic tracking of regulatory requirement changes across all operating jurisdictions with dedicated personnel responsible for monitoring regulatory developments, assessment of requirement changes for impact on global standards and local procedures including gap analysis and implementation planning, and timely implementation of necessary updates to maintain compliance with evolving requirements through coordinated deployment across all affected business lines and regions.</w:t>
      </w:r>
    </w:p>
    <w:p w14:paraId="44CDFB03" w14:textId="77777777" w:rsidR="00DA07D9" w:rsidRPr="00321B58" w:rsidRDefault="00DA07D9" w:rsidP="00DA07D9">
      <w:pPr>
        <w:spacing w:after="210" w:line="360" w:lineRule="auto"/>
        <w:rPr>
          <w:rFonts w:ascii="Arial" w:hAnsi="Arial" w:cs="Arial"/>
          <w:sz w:val="20"/>
          <w:szCs w:val="20"/>
        </w:rPr>
      </w:pPr>
      <w:r w:rsidRPr="00321B58">
        <w:rPr>
          <w:rFonts w:ascii="Arial" w:eastAsia="inter" w:hAnsi="Arial" w:cs="Arial"/>
          <w:color w:val="000000"/>
          <w:sz w:val="20"/>
          <w:szCs w:val="20"/>
        </w:rPr>
        <w:t>Multi-jurisdictional compliance coordination includes regular communication with regulatory authorities in key operating jurisdictions through designated relationship managers and compliance liaisons, participation in regulatory outreach and consultation activities including industry</w:t>
      </w:r>
      <w:r w:rsidRPr="00321B58">
        <w:rPr>
          <w:rFonts w:ascii="Arial" w:eastAsia="inter" w:hAnsi="Arial" w:cs="Arial"/>
          <w:color w:val="000000"/>
          <w:sz w:val="20"/>
          <w:szCs w:val="20"/>
        </w:rPr>
        <w:br/>
      </w:r>
    </w:p>
    <w:p w14:paraId="68B1563F" w14:textId="77777777" w:rsidR="00BF0776" w:rsidRPr="00321B58" w:rsidRDefault="00BF0776" w:rsidP="00BF0776">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11. REGULATORY COMPLIANCE AND EXAMINATION MANAGEMENT</w:t>
      </w:r>
    </w:p>
    <w:p w14:paraId="76469935" w14:textId="77777777" w:rsidR="00BF0776" w:rsidRPr="00321B58" w:rsidRDefault="00BF0776" w:rsidP="00BF0776">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lastRenderedPageBreak/>
        <w:t>A. Multi-Jurisdictional Compliance Framework</w:t>
      </w:r>
    </w:p>
    <w:p w14:paraId="0D707CCB"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Global Regulatory Requirement Integration:</w:t>
      </w:r>
      <w:r w:rsidRPr="00321B58">
        <w:rPr>
          <w:rFonts w:ascii="Arial" w:eastAsia="inter" w:hAnsi="Arial" w:cs="Arial"/>
          <w:color w:val="000000"/>
          <w:sz w:val="20"/>
          <w:szCs w:val="20"/>
        </w:rPr>
        <w:br/>
        <w:t>Bank X CIP/CDD standards integrate regulatory requirements from all operating jurisdictions while establishing global minimum standards that exceed the highest regulatory requirements in any single jurisdiction. Regulatory compliance frameworks accommodate variations in local requirements while maintaining consistent global standards for customer identification, risk assessment, and due diligence procedures ensuring uniform application of controls across all operations.</w:t>
      </w:r>
    </w:p>
    <w:p w14:paraId="2F703903"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Regulatory monitoring includes systematic tracking of regulatory requirement changes across all operating jurisdictions with dedicated personnel responsible for monitoring regulatory developments in each region, assessment of requirement changes for impact on global standards and local procedures including comprehensive gap analysis and implementation planning, and timely implementation of necessary updates to maintain compliance with evolving requirements through coordinated deployment across all affected business lines and regions.</w:t>
      </w:r>
    </w:p>
    <w:p w14:paraId="7F47E394"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Multi-jurisdictional compliance coordination includes regular communication with regulatory authorities in key operating jurisdictions through designated relationship managers and compliance liaisons, participation in regulatory outreach and consultation activities including industry working groups and regulatory comment processes, and proactive engagement on emerging regulatory developments that may impact customer identification and due diligence requirements with early assessment and preparation for implementation.</w:t>
      </w:r>
    </w:p>
    <w:p w14:paraId="03F2AD84"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Regulatory relationship management includes designated personnel responsible for regulatory communication in each jurisdiction with specialized expertise in local requirements and examination processes, coordinated responses to regulatory inquiries and examination activities ensuring consistent messaging and comprehensive information provision, and systematic documentation of regulatory communications and commitments with tracking of implementation requirements and deadlines.</w:t>
      </w:r>
    </w:p>
    <w:p w14:paraId="0FF7411A" w14:textId="77777777" w:rsidR="00BF0776" w:rsidRPr="00321B58" w:rsidRDefault="00BF0776" w:rsidP="00BF0776">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Examination Readiness and Response Management</w:t>
      </w:r>
    </w:p>
    <w:p w14:paraId="1B893300"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Comprehensive Examination Preparation:</w:t>
      </w:r>
      <w:r w:rsidRPr="00321B58">
        <w:rPr>
          <w:rFonts w:ascii="Arial" w:eastAsia="inter" w:hAnsi="Arial" w:cs="Arial"/>
          <w:color w:val="000000"/>
          <w:sz w:val="20"/>
          <w:szCs w:val="20"/>
        </w:rPr>
        <w:br/>
        <w:t>Bank X maintains comprehensive examination readiness programs that ensure availability of complete and accurate documentation, effective coordination of examination responses across business lines and regions, and timely remediation of identified deficiencies. Examination readiness includes regular self-assessment activities that identify potential examination issues and areas requiring enhancement, comprehensive documentation organization and maintenance with centralized repositories and easy accessibility for examiners, and staff training on examination response procedures including roles and responsibilities during examination activities.</w:t>
      </w:r>
    </w:p>
    <w:p w14:paraId="79765572"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 xml:space="preserve">Examination management includes designated examination coordinators for each major jurisdiction with specialized knowledge of examination processes and regulatory expectations, standardized procedures </w:t>
      </w:r>
      <w:r w:rsidRPr="00321B58">
        <w:rPr>
          <w:rFonts w:ascii="Arial" w:eastAsia="inter" w:hAnsi="Arial" w:cs="Arial"/>
          <w:color w:val="000000"/>
          <w:sz w:val="20"/>
          <w:szCs w:val="20"/>
        </w:rPr>
        <w:lastRenderedPageBreak/>
        <w:t xml:space="preserve">for information gathering and response preparation including document collection protocols and stakeholder </w:t>
      </w:r>
      <w:proofErr w:type="gramStart"/>
      <w:r w:rsidRPr="00321B58">
        <w:rPr>
          <w:rFonts w:ascii="Arial" w:eastAsia="inter" w:hAnsi="Arial" w:cs="Arial"/>
          <w:color w:val="000000"/>
          <w:sz w:val="20"/>
          <w:szCs w:val="20"/>
        </w:rPr>
        <w:t>coordination, and</w:t>
      </w:r>
      <w:proofErr w:type="gramEnd"/>
      <w:r w:rsidRPr="00321B58">
        <w:rPr>
          <w:rFonts w:ascii="Arial" w:eastAsia="inter" w:hAnsi="Arial" w:cs="Arial"/>
          <w:color w:val="000000"/>
          <w:sz w:val="20"/>
          <w:szCs w:val="20"/>
        </w:rPr>
        <w:t xml:space="preserve"> coordinated communication strategies that ensure consistent messaging across all examination interactions and prevent conflicting or incomplete responses.</w:t>
      </w:r>
    </w:p>
    <w:p w14:paraId="4BB8FD6F"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Examination response procedures include rapid mobilization of subject matter experts from across the organization to support examination activities, comprehensive document collection and organization with systematic categorization and indexing for examiner access, and senior management oversight of examination activities and outcomes with regular status updates and strategic guidance for examination response.</w:t>
      </w:r>
    </w:p>
    <w:p w14:paraId="12DF7174"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Post-Examination Activities and Continuous Improvement:</w:t>
      </w:r>
      <w:r w:rsidRPr="00321B58">
        <w:rPr>
          <w:rFonts w:ascii="Arial" w:eastAsia="inter" w:hAnsi="Arial" w:cs="Arial"/>
          <w:color w:val="000000"/>
          <w:sz w:val="20"/>
          <w:szCs w:val="20"/>
        </w:rPr>
        <w:br/>
      </w:r>
      <w:proofErr w:type="gramStart"/>
      <w:r w:rsidRPr="00321B58">
        <w:rPr>
          <w:rFonts w:ascii="Arial" w:eastAsia="inter" w:hAnsi="Arial" w:cs="Arial"/>
          <w:color w:val="000000"/>
          <w:sz w:val="20"/>
          <w:szCs w:val="20"/>
        </w:rPr>
        <w:t>Post-examination</w:t>
      </w:r>
      <w:proofErr w:type="gramEnd"/>
      <w:r w:rsidRPr="00321B58">
        <w:rPr>
          <w:rFonts w:ascii="Arial" w:eastAsia="inter" w:hAnsi="Arial" w:cs="Arial"/>
          <w:color w:val="000000"/>
          <w:sz w:val="20"/>
          <w:szCs w:val="20"/>
        </w:rPr>
        <w:t xml:space="preserve"> activities include thorough analysis of examination findings and recommendations with detailed root cause analysis and systemic issue identification, development of comprehensive corrective action plans with appropriate timeline assignments and accountability structures, and regular monitoring of corrective action implementation until validation of effectiveness through independent testing and verification.</w:t>
      </w:r>
    </w:p>
    <w:p w14:paraId="211038B9"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Examination outcome analysis includes identification of systemic issues requiring enterprise-wide attention and remediation beyond specific examination findings, best practice sharing across business lines and regions based on examination insights and successful remediation strategies, and regulatory relationship enhancement through proactive communication about corrective actions and program improvements.</w:t>
      </w:r>
    </w:p>
    <w:p w14:paraId="065CD2EC"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Continuous improvement processes incorporate examination feedback into ongoing program enhancement including policy updates, procedure refinements, and training program modifications, benchmark analysis comparing examination results across jurisdictions and time periods to identify trends and improvement opportunities, and stakeholder communication ensuring business lines understand examination outcomes and required actions for sustained compliance.</w:t>
      </w:r>
    </w:p>
    <w:p w14:paraId="321466AD" w14:textId="77777777" w:rsidR="00BF0776" w:rsidRPr="00321B58" w:rsidRDefault="00BF0776" w:rsidP="00BF0776">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C. Regulatory Reporting and Communication</w:t>
      </w:r>
    </w:p>
    <w:p w14:paraId="53B3C480"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Comprehensive Regulatory Reporting Framework:</w:t>
      </w:r>
      <w:r w:rsidRPr="00321B58">
        <w:rPr>
          <w:rFonts w:ascii="Arial" w:eastAsia="inter" w:hAnsi="Arial" w:cs="Arial"/>
          <w:color w:val="000000"/>
          <w:sz w:val="20"/>
          <w:szCs w:val="20"/>
        </w:rPr>
        <w:br/>
        <w:t>Bank X maintains comprehensive regulatory reporting capabilities that ensure accurate and timely submission of all required CIP/CDD related reports including suspicious activity reports, currency transaction reports, and beneficial ownership information requests. Reporting procedures include automated data collection and validation systems that ensure report accuracy and completeness, standardized review and approval processes with appropriate supervisory oversight and quality assurance, and systematic tracking of report submission deadlines and regulatory acknowledgments.</w:t>
      </w:r>
    </w:p>
    <w:p w14:paraId="3286518B"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 xml:space="preserve">Regulatory communication procedures include proactive notification to regulatory authorities regarding significant changes in customer risk profiles or control procedures, timely response to regulatory inquiries with comprehensive information provision and supporting documentation, and regular relationship </w:t>
      </w:r>
      <w:r w:rsidRPr="00321B58">
        <w:rPr>
          <w:rFonts w:ascii="Arial" w:eastAsia="inter" w:hAnsi="Arial" w:cs="Arial"/>
          <w:color w:val="000000"/>
          <w:sz w:val="20"/>
          <w:szCs w:val="20"/>
        </w:rPr>
        <w:lastRenderedPageBreak/>
        <w:t>management activities including meetings with regulatory personnel and participation in industry discussions.</w:t>
      </w:r>
    </w:p>
    <w:p w14:paraId="65F322AD"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Performance monitoring includes comprehensive metrics tracking for regulatory reporting including timeliness, accuracy, and regulatory feedback on report quality, trend analysis of regulatory communications and examination findings to identify improvement opportunities, and stakeholder reporting to senior management and Board committees regarding regulatory relationship status and performance indicators.</w:t>
      </w:r>
    </w:p>
    <w:p w14:paraId="3B86373E" w14:textId="77777777" w:rsidR="00BF0776" w:rsidRPr="00321B58" w:rsidRDefault="00BF0776" w:rsidP="00BF0776">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12. TRAINING AND COMPETENCY DEVELOPMENT</w:t>
      </w:r>
    </w:p>
    <w:p w14:paraId="27020AAF" w14:textId="77777777" w:rsidR="00BF0776" w:rsidRPr="00321B58" w:rsidRDefault="00BF0776" w:rsidP="00BF0776">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A. Comprehensive CIP/CDD Training Framework</w:t>
      </w:r>
    </w:p>
    <w:p w14:paraId="1460A827"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Role-Specific Training Programs:</w:t>
      </w:r>
      <w:r w:rsidRPr="00321B58">
        <w:rPr>
          <w:rFonts w:ascii="Arial" w:eastAsia="inter" w:hAnsi="Arial" w:cs="Arial"/>
          <w:color w:val="000000"/>
          <w:sz w:val="20"/>
          <w:szCs w:val="20"/>
        </w:rPr>
        <w:br/>
        <w:t>All Bank X personnel involved in customer identification and due diligence activities receive comprehensive training tailored to their specific roles, responsibilities, and risk exposures. Training programs include detailed instruction on regulatory requirements including BSA/AML requirements, USA PATRIOT Act provisions, CDD Rule requirements, and applicable state and local regulations, Bank X policies and procedures with specific emphasis on implementation procedures and escalation requirements, risk assessment methodologies including customer risk rating systems and risk factor identification, and technology system utilization for customer identification and due diligence activities including system navigation, data entry requirements, and quality assurance procedures.</w:t>
      </w:r>
    </w:p>
    <w:p w14:paraId="5B1FAC12"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Front-line personnel training includes practical instruction on customer identification document verification including acceptable documents, authentication procedures, and fraud detection techniques, risk indicator recognition including suspicious behavior patterns, unusual transaction characteristics, and escalation triggers, escalation procedures with clear guidelines for when and how to escalate customer issues or concerns to appropriate personnel, and customer interaction techniques that gather necessary information while maintaining positive customer relationships and ensuring compliance with privacy requirements.</w:t>
      </w:r>
    </w:p>
    <w:p w14:paraId="69190873"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Specialized training addresses unique requirements for different customer types including individual customers with various risk profiles and documentation requirements, small businesses with specific due diligence and beneficial ownership considerations, complex entities requiring enhanced analysis and verification procedures, and high-risk customers requiring enhanced due diligence procedures and senior management involvement.</w:t>
      </w:r>
    </w:p>
    <w:p w14:paraId="006622C9"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 xml:space="preserve">Management training includes comprehensive instruction on risk management frameworks including risk assessment methodologies, risk mitigation strategies, and risk monitoring procedures, regulatory compliance requirements including examination expectations, corrective action management, and regulatory communication protocols, quality assurance procedures including testing methodologies, performance measurement, and corrective action implementation, and performance measurement </w:t>
      </w:r>
      <w:r w:rsidRPr="00321B58">
        <w:rPr>
          <w:rFonts w:ascii="Arial" w:eastAsia="inter" w:hAnsi="Arial" w:cs="Arial"/>
          <w:color w:val="000000"/>
          <w:sz w:val="20"/>
          <w:szCs w:val="20"/>
        </w:rPr>
        <w:lastRenderedPageBreak/>
        <w:t>methodologies including individual performance assessment, team performance evaluation, and program effectiveness measurement.</w:t>
      </w:r>
    </w:p>
    <w:p w14:paraId="695127EC"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Advanced Training for Complex Scenarios:</w:t>
      </w:r>
      <w:r w:rsidRPr="00321B58">
        <w:rPr>
          <w:rFonts w:ascii="Arial" w:eastAsia="inter" w:hAnsi="Arial" w:cs="Arial"/>
          <w:color w:val="000000"/>
          <w:sz w:val="20"/>
          <w:szCs w:val="20"/>
        </w:rPr>
        <w:br/>
        <w:t>Advanced training addresses complex customer scenarios including politically exposed person identification and enhanced due diligence procedures with detailed instruction on PEP categories, family member and associate identification, and enhanced monitoring requirements, beneficial ownership analysis for complex entity structures including multi-layered ownership arrangements, trust structures, and nominee arrangements, high-risk customer relationship management and monitoring including enhanced due diligence implementation, ongoing monitoring requirements, and relationship review procedures, and correspondent banking and international regulatory coordination including cross-border compliance requirements and regulatory cooperation procedures.</w:t>
      </w:r>
    </w:p>
    <w:p w14:paraId="69757DB2"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Investigation and reporting training includes suspicious activity investigation techniques with systematic approaches to transaction analysis, customer inquiry procedures, and documentation requirements, suspicious activity report preparation and filing procedures including narrative writing, supporting documentation, and timeline requirements, customer inquiry and communication techniques including interview skills, documentation procedures, and privacy considerations, and coordination with law enforcement and regulatory authorities including information sharing protocols, inquiry response procedures, and legal considerations.</w:t>
      </w:r>
    </w:p>
    <w:p w14:paraId="5B6412A5" w14:textId="77777777" w:rsidR="00BF0776" w:rsidRPr="00321B58" w:rsidRDefault="00BF0776" w:rsidP="00BF0776">
      <w:pPr>
        <w:spacing w:before="315" w:after="105" w:line="360" w:lineRule="auto"/>
        <w:ind w:left="-30"/>
        <w:rPr>
          <w:rFonts w:ascii="Arial" w:hAnsi="Arial" w:cs="Arial"/>
          <w:sz w:val="20"/>
          <w:szCs w:val="20"/>
        </w:rPr>
      </w:pPr>
      <w:r w:rsidRPr="00321B58">
        <w:rPr>
          <w:rFonts w:ascii="Arial" w:eastAsia="inter" w:hAnsi="Arial" w:cs="Arial"/>
          <w:b/>
          <w:color w:val="000000"/>
          <w:sz w:val="20"/>
          <w:szCs w:val="20"/>
        </w:rPr>
        <w:t>B. Continuous Learning and Professional Development</w:t>
      </w:r>
    </w:p>
    <w:p w14:paraId="292C1CE2"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Ongoing Education and Knowledge Management:</w:t>
      </w:r>
      <w:r w:rsidRPr="00321B58">
        <w:rPr>
          <w:rFonts w:ascii="Arial" w:eastAsia="inter" w:hAnsi="Arial" w:cs="Arial"/>
          <w:color w:val="000000"/>
          <w:sz w:val="20"/>
          <w:szCs w:val="20"/>
        </w:rPr>
        <w:br/>
        <w:t>Training programs include ongoing education components that ensure personnel maintain current knowledge of regulatory requirements, emerging threats, and best practice developments. Continuous learning includes regular updates on regulatory guidance changes including new regulations, interpretive guidance, and examination manual updates, new money laundering typologies and emerging threat patterns with detailed analysis of risk indicators and detection methods, technology developments affecting customer identification and due diligence including new verification tools, analytical capabilities, and system enhancements, and lessons learned from internal experiences and industry developments including case studies, best practices, and regulatory enforcement actions.</w:t>
      </w:r>
    </w:p>
    <w:p w14:paraId="1C5CD4E2"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Professional development includes opportunities for specialized certification including anti-money laundering certifications, risk management credentials, and industry-specific professional development programs, industry conference participation with emphasis on regulatory developments, emerging threats, and best practice sharing, regulatory training programs including examiner training programs, regulatory symposiums, and specialized compliance education, and advanced education in financial crime prevention including graduate-level coursework, professional workshops, and specialized research opportunities.</w:t>
      </w:r>
    </w:p>
    <w:p w14:paraId="305FA038"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lastRenderedPageBreak/>
        <w:t>Career development programs include advancement opportunities within financial crime compliance functions with clear career progression paths, skill development requirements, and mentoring programs, recognition of expertise development and performance excellence through performance awards, professional recognition, and advancement opportunities, and cross-functional rotation opportunities to enhance understanding of business operations and risk management across different areas of the organization.</w:t>
      </w:r>
    </w:p>
    <w:p w14:paraId="5F924E12"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Training Effectiveness and Performance Management:</w:t>
      </w:r>
      <w:r w:rsidRPr="00321B58">
        <w:rPr>
          <w:rFonts w:ascii="Arial" w:eastAsia="inter" w:hAnsi="Arial" w:cs="Arial"/>
          <w:color w:val="000000"/>
          <w:sz w:val="20"/>
          <w:szCs w:val="20"/>
        </w:rPr>
        <w:br/>
        <w:t xml:space="preserve">Training effectiveness measurement includes regular knowledge assessment through written examinations, practical exercises, and competency demonstrations, practical application evaluation through job shadowing, transaction </w:t>
      </w:r>
      <w:proofErr w:type="gramStart"/>
      <w:r w:rsidRPr="00321B58">
        <w:rPr>
          <w:rFonts w:ascii="Arial" w:eastAsia="inter" w:hAnsi="Arial" w:cs="Arial"/>
          <w:color w:val="000000"/>
          <w:sz w:val="20"/>
          <w:szCs w:val="20"/>
        </w:rPr>
        <w:t>review, and performance observation</w:t>
      </w:r>
      <w:proofErr w:type="gramEnd"/>
      <w:r w:rsidRPr="00321B58">
        <w:rPr>
          <w:rFonts w:ascii="Arial" w:eastAsia="inter" w:hAnsi="Arial" w:cs="Arial"/>
          <w:color w:val="000000"/>
          <w:sz w:val="20"/>
          <w:szCs w:val="20"/>
        </w:rPr>
        <w:t>, and performance improvement tracking through individual development plans, skill gap analysis, and targeted training interventions.</w:t>
      </w:r>
    </w:p>
    <w:p w14:paraId="0AC9FE8E"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Competency assessment includes written examinations on regulatory requirements and Bank X procedures with passing score requirements and remedial training for deficient performance, practical exercises using realistic customer scenarios with evaluation of decision-making skills and procedure application, and ongoing performance monitoring through transaction review and quality assurance activities with regular feedback and coaching.</w:t>
      </w:r>
    </w:p>
    <w:p w14:paraId="0237444A"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Performance improvement includes individual coaching for personnel with identified skill gaps or performance deficiencies, targeted training for specific weaknesses or knowledge gaps identified through competency assessment, and procedural enhancements based on training feedback and performance analysis to improve overall program effectiveness and personnel competency development.</w:t>
      </w:r>
    </w:p>
    <w:p w14:paraId="1D436EED"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Training programs undergo continuous improvement based on effectiveness measurement including participant feedback, supervisor evaluation, and regulatory examination findings, regulatory feedback including examination findings, regulatory guidance, and industry best practice development, and emerging training needs identified through program evolution and external developments including new regulations, emerging threats, and technology changes.</w:t>
      </w:r>
    </w:p>
    <w:p w14:paraId="3F033BBD"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DOCUMENT APPROVAL AND IMPLEMENTATION:</w:t>
      </w:r>
    </w:p>
    <w:p w14:paraId="7A1790A2"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color w:val="000000"/>
          <w:sz w:val="20"/>
          <w:szCs w:val="20"/>
        </w:rPr>
        <w:t>This comprehensive Global Financial Crime Standards document establishes Bank X's enterprise-wide framework for customer identification programs and customer due diligence based on FFIEC BSA/AML Examination Manual requirements, regulatory best practices, and industry standards. Implementation requires coordinated deployment across all business lines with appropriate training, system updates, ongoing monitoring, and continuous improvement to ensure sustained effectiveness and regulatory compliance.</w:t>
      </w:r>
    </w:p>
    <w:p w14:paraId="751481EC"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Chief Risk Officer:</w:t>
      </w:r>
      <w:r w:rsidRPr="00321B58">
        <w:rPr>
          <w:rFonts w:ascii="Arial" w:eastAsia="inter" w:hAnsi="Arial" w:cs="Arial"/>
          <w:color w:val="000000"/>
          <w:sz w:val="20"/>
          <w:szCs w:val="20"/>
        </w:rPr>
        <w:t xml:space="preserve"> _________________________________ Date: __________</w:t>
      </w:r>
    </w:p>
    <w:p w14:paraId="2EC92A4E"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t>Chief Compliance Officer:</w:t>
      </w:r>
      <w:r w:rsidRPr="00321B58">
        <w:rPr>
          <w:rFonts w:ascii="Arial" w:eastAsia="inter" w:hAnsi="Arial" w:cs="Arial"/>
          <w:color w:val="000000"/>
          <w:sz w:val="20"/>
          <w:szCs w:val="20"/>
        </w:rPr>
        <w:t xml:space="preserve"> _________________________________ Date: __________</w:t>
      </w:r>
    </w:p>
    <w:p w14:paraId="7668B7A4" w14:textId="77777777" w:rsidR="00BF0776" w:rsidRPr="00321B58" w:rsidRDefault="00BF0776" w:rsidP="00BF0776">
      <w:pPr>
        <w:spacing w:after="210" w:line="360" w:lineRule="auto"/>
        <w:rPr>
          <w:rFonts w:ascii="Arial" w:hAnsi="Arial" w:cs="Arial"/>
          <w:sz w:val="20"/>
          <w:szCs w:val="20"/>
        </w:rPr>
      </w:pPr>
      <w:r w:rsidRPr="00321B58">
        <w:rPr>
          <w:rFonts w:ascii="Arial" w:eastAsia="inter" w:hAnsi="Arial" w:cs="Arial"/>
          <w:b/>
          <w:color w:val="000000"/>
          <w:sz w:val="20"/>
          <w:szCs w:val="20"/>
        </w:rPr>
        <w:lastRenderedPageBreak/>
        <w:t>Board Risk Committee Chairman:</w:t>
      </w:r>
      <w:r w:rsidRPr="00321B58">
        <w:rPr>
          <w:rFonts w:ascii="Arial" w:eastAsia="inter" w:hAnsi="Arial" w:cs="Arial"/>
          <w:color w:val="000000"/>
          <w:sz w:val="20"/>
          <w:szCs w:val="20"/>
        </w:rPr>
        <w:t xml:space="preserve"> _________________________________ Date: __________</w:t>
      </w:r>
      <w:r w:rsidRPr="00321B58">
        <w:rPr>
          <w:rFonts w:ascii="Arial" w:eastAsia="inter" w:hAnsi="Arial" w:cs="Arial"/>
          <w:color w:val="000000"/>
          <w:sz w:val="20"/>
          <w:szCs w:val="20"/>
        </w:rPr>
        <w:br/>
      </w:r>
    </w:p>
    <w:p w14:paraId="6AF589B8" w14:textId="77777777" w:rsidR="00BF0776" w:rsidRPr="00321B58" w:rsidRDefault="00BF0776" w:rsidP="00DA07D9">
      <w:pPr>
        <w:spacing w:after="210" w:line="360" w:lineRule="auto"/>
        <w:rPr>
          <w:rFonts w:ascii="Arial" w:hAnsi="Arial" w:cs="Arial"/>
          <w:sz w:val="20"/>
          <w:szCs w:val="20"/>
        </w:rPr>
      </w:pPr>
    </w:p>
    <w:p w14:paraId="0C63CB76" w14:textId="2467D87A" w:rsidR="00B26CEC" w:rsidRPr="00321B58" w:rsidRDefault="00B26CEC" w:rsidP="008139C9">
      <w:pPr>
        <w:rPr>
          <w:rFonts w:ascii="Arial" w:hAnsi="Arial" w:cs="Arial"/>
          <w:sz w:val="20"/>
          <w:szCs w:val="20"/>
        </w:rPr>
      </w:pPr>
    </w:p>
    <w:sectPr w:rsidR="00B26CEC" w:rsidRPr="00321B58" w:rsidSect="00987840">
      <w:headerReference w:type="even" r:id="rId10"/>
      <w:headerReference w:type="default" r:id="rId11"/>
      <w:footerReference w:type="even" r:id="rId12"/>
      <w:footerReference w:type="default" r:id="rId13"/>
      <w:headerReference w:type="first" r:id="rId14"/>
      <w:footerReference w:type="first" r:id="rId15"/>
      <w:pgSz w:w="12240" w:h="15840" w:code="1"/>
      <w:pgMar w:top="864" w:right="1440" w:bottom="1296"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4BB0F" w14:textId="77777777" w:rsidR="001B6BC7" w:rsidRDefault="001B6BC7" w:rsidP="00A123D0">
      <w:r>
        <w:separator/>
      </w:r>
    </w:p>
  </w:endnote>
  <w:endnote w:type="continuationSeparator" w:id="0">
    <w:p w14:paraId="2DD01B46" w14:textId="77777777" w:rsidR="001B6BC7" w:rsidRDefault="001B6BC7" w:rsidP="00A12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3EDA" w14:textId="77777777" w:rsidR="00A123D0" w:rsidRDefault="00A123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D723" w14:textId="77777777" w:rsidR="00A123D0" w:rsidRDefault="00A123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C80C" w14:textId="77777777" w:rsidR="00A123D0" w:rsidRDefault="00A12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C52F" w14:textId="77777777" w:rsidR="001B6BC7" w:rsidRDefault="001B6BC7" w:rsidP="00A123D0">
      <w:r>
        <w:separator/>
      </w:r>
    </w:p>
  </w:footnote>
  <w:footnote w:type="continuationSeparator" w:id="0">
    <w:p w14:paraId="0C59EBA1" w14:textId="77777777" w:rsidR="001B6BC7" w:rsidRDefault="001B6BC7" w:rsidP="00A12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F374" w14:textId="77777777" w:rsidR="00A123D0" w:rsidRDefault="00A123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EB2F" w14:textId="77777777" w:rsidR="00A123D0" w:rsidRDefault="00A123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A245" w14:textId="77777777" w:rsidR="00A123D0" w:rsidRDefault="00A12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78F8"/>
    <w:multiLevelType w:val="hybridMultilevel"/>
    <w:tmpl w:val="45808B78"/>
    <w:lvl w:ilvl="0" w:tplc="FC48F3F0">
      <w:start w:val="1"/>
      <w:numFmt w:val="bullet"/>
      <w:lvlText w:val=""/>
      <w:lvlJc w:val="left"/>
      <w:pPr>
        <w:tabs>
          <w:tab w:val="num" w:pos="900"/>
        </w:tabs>
        <w:ind w:left="540" w:hanging="360"/>
      </w:pPr>
      <w:rPr>
        <w:rFonts w:ascii="Symbol" w:hAnsi="Symbol" w:hint="default"/>
      </w:rPr>
    </w:lvl>
    <w:lvl w:ilvl="1" w:tplc="DFBE394C">
      <w:numFmt w:val="decimal"/>
      <w:lvlText w:val=""/>
      <w:lvlJc w:val="left"/>
    </w:lvl>
    <w:lvl w:ilvl="2" w:tplc="9A1A59F8">
      <w:numFmt w:val="decimal"/>
      <w:lvlText w:val=""/>
      <w:lvlJc w:val="left"/>
    </w:lvl>
    <w:lvl w:ilvl="3" w:tplc="F1B4515A">
      <w:numFmt w:val="decimal"/>
      <w:lvlText w:val=""/>
      <w:lvlJc w:val="left"/>
    </w:lvl>
    <w:lvl w:ilvl="4" w:tplc="672C872E">
      <w:numFmt w:val="decimal"/>
      <w:lvlText w:val=""/>
      <w:lvlJc w:val="left"/>
    </w:lvl>
    <w:lvl w:ilvl="5" w:tplc="7F044D3A">
      <w:numFmt w:val="decimal"/>
      <w:lvlText w:val=""/>
      <w:lvlJc w:val="left"/>
    </w:lvl>
    <w:lvl w:ilvl="6" w:tplc="25E0603A">
      <w:numFmt w:val="decimal"/>
      <w:lvlText w:val=""/>
      <w:lvlJc w:val="left"/>
    </w:lvl>
    <w:lvl w:ilvl="7" w:tplc="0B54E5BA">
      <w:numFmt w:val="decimal"/>
      <w:lvlText w:val=""/>
      <w:lvlJc w:val="left"/>
    </w:lvl>
    <w:lvl w:ilvl="8" w:tplc="C87E22EC">
      <w:numFmt w:val="decimal"/>
      <w:lvlText w:val=""/>
      <w:lvlJc w:val="left"/>
    </w:lvl>
  </w:abstractNum>
  <w:abstractNum w:abstractNumId="1" w15:restartNumberingAfterBreak="0">
    <w:nsid w:val="2B5754D3"/>
    <w:multiLevelType w:val="hybridMultilevel"/>
    <w:tmpl w:val="BA70E2E8"/>
    <w:lvl w:ilvl="0" w:tplc="6F50D34C">
      <w:start w:val="1"/>
      <w:numFmt w:val="bullet"/>
      <w:lvlText w:val=""/>
      <w:lvlJc w:val="left"/>
      <w:pPr>
        <w:tabs>
          <w:tab w:val="num" w:pos="900"/>
        </w:tabs>
        <w:ind w:left="540" w:hanging="360"/>
      </w:pPr>
      <w:rPr>
        <w:rFonts w:ascii="Symbol" w:hAnsi="Symbol" w:hint="default"/>
      </w:rPr>
    </w:lvl>
    <w:lvl w:ilvl="1" w:tplc="B532D470">
      <w:numFmt w:val="decimal"/>
      <w:lvlText w:val=""/>
      <w:lvlJc w:val="left"/>
    </w:lvl>
    <w:lvl w:ilvl="2" w:tplc="7660ABBC">
      <w:numFmt w:val="decimal"/>
      <w:lvlText w:val=""/>
      <w:lvlJc w:val="left"/>
    </w:lvl>
    <w:lvl w:ilvl="3" w:tplc="B71E9082">
      <w:numFmt w:val="decimal"/>
      <w:lvlText w:val=""/>
      <w:lvlJc w:val="left"/>
    </w:lvl>
    <w:lvl w:ilvl="4" w:tplc="3120FA40">
      <w:numFmt w:val="decimal"/>
      <w:lvlText w:val=""/>
      <w:lvlJc w:val="left"/>
    </w:lvl>
    <w:lvl w:ilvl="5" w:tplc="2EC24116">
      <w:numFmt w:val="decimal"/>
      <w:lvlText w:val=""/>
      <w:lvlJc w:val="left"/>
    </w:lvl>
    <w:lvl w:ilvl="6" w:tplc="3BA6D7AA">
      <w:numFmt w:val="decimal"/>
      <w:lvlText w:val=""/>
      <w:lvlJc w:val="left"/>
    </w:lvl>
    <w:lvl w:ilvl="7" w:tplc="344EEFB8">
      <w:numFmt w:val="decimal"/>
      <w:lvlText w:val=""/>
      <w:lvlJc w:val="left"/>
    </w:lvl>
    <w:lvl w:ilvl="8" w:tplc="2CF65496">
      <w:numFmt w:val="decimal"/>
      <w:lvlText w:val=""/>
      <w:lvlJc w:val="left"/>
    </w:lvl>
  </w:abstractNum>
  <w:num w:numId="1" w16cid:durableId="1216352153">
    <w:abstractNumId w:val="1"/>
  </w:num>
  <w:num w:numId="2" w16cid:durableId="8037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1E"/>
    <w:rsid w:val="000A1284"/>
    <w:rsid w:val="000B1604"/>
    <w:rsid w:val="000E4CDD"/>
    <w:rsid w:val="000F4F73"/>
    <w:rsid w:val="001B6BC7"/>
    <w:rsid w:val="00210745"/>
    <w:rsid w:val="0030429A"/>
    <w:rsid w:val="00321B58"/>
    <w:rsid w:val="0038132B"/>
    <w:rsid w:val="00531BE0"/>
    <w:rsid w:val="00587D5F"/>
    <w:rsid w:val="0068037E"/>
    <w:rsid w:val="008139C9"/>
    <w:rsid w:val="00866A2E"/>
    <w:rsid w:val="008A68E0"/>
    <w:rsid w:val="0091365C"/>
    <w:rsid w:val="00987840"/>
    <w:rsid w:val="009D4A85"/>
    <w:rsid w:val="00A11692"/>
    <w:rsid w:val="00A123D0"/>
    <w:rsid w:val="00A210D1"/>
    <w:rsid w:val="00B26CEC"/>
    <w:rsid w:val="00B818B4"/>
    <w:rsid w:val="00BC6874"/>
    <w:rsid w:val="00BF0776"/>
    <w:rsid w:val="00C83237"/>
    <w:rsid w:val="00D3217A"/>
    <w:rsid w:val="00D50213"/>
    <w:rsid w:val="00DA07D9"/>
    <w:rsid w:val="00EA087D"/>
    <w:rsid w:val="00F4251E"/>
    <w:rsid w:val="00FD2C8D"/>
    <w:rsid w:val="00FF2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3E37B"/>
  <w15:chartTrackingRefBased/>
  <w15:docId w15:val="{39F63471-F084-4183-A228-51965404F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51E"/>
    <w:pPr>
      <w:spacing w:after="120" w:line="240" w:lineRule="atLeast"/>
    </w:pPr>
    <w:rPr>
      <w:rFonts w:ascii="Georgia"/>
      <w:sz w:val="21"/>
    </w:rPr>
  </w:style>
  <w:style w:type="paragraph" w:styleId="Heading1">
    <w:name w:val="heading 1"/>
    <w:basedOn w:val="Normal"/>
    <w:next w:val="Normal"/>
    <w:link w:val="Heading1Char"/>
    <w:uiPriority w:val="9"/>
    <w:qFormat/>
    <w:rsid w:val="00866A2E"/>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6A2E"/>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66A2E"/>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866A2E"/>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866A2E"/>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866A2E"/>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unhideWhenUsed/>
    <w:qFormat/>
    <w:rsid w:val="00866A2E"/>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866A2E"/>
    <w:pPr>
      <w:keepNext/>
      <w:keepLines/>
      <w:spacing w:before="20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unhideWhenUsed/>
    <w:qFormat/>
    <w:rsid w:val="00866A2E"/>
    <w:pPr>
      <w:keepNext/>
      <w:keepLines/>
      <w:spacing w:before="200"/>
      <w:outlineLvl w:val="8"/>
    </w:pPr>
    <w:rPr>
      <w:rFonts w:eastAsiaTheme="majorEastAsia"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087D"/>
    <w:pPr>
      <w:jc w:val="both"/>
    </w:pPr>
    <w:rPr>
      <w:rFonts w:ascii="Arial" w:hAnsi="Arial"/>
      <w:sz w:val="20"/>
    </w:rPr>
  </w:style>
  <w:style w:type="character" w:customStyle="1" w:styleId="Heading1Char">
    <w:name w:val="Heading 1 Char"/>
    <w:basedOn w:val="DefaultParagraphFont"/>
    <w:link w:val="Heading1"/>
    <w:uiPriority w:val="9"/>
    <w:rsid w:val="00866A2E"/>
    <w:rPr>
      <w:rFonts w:ascii="Arial" w:eastAsiaTheme="majorEastAsia" w:hAnsi="Arial"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66A2E"/>
    <w:rPr>
      <w:rFonts w:ascii="Arial" w:eastAsiaTheme="majorEastAsia" w:hAnsi="Arial" w:cstheme="majorBidi"/>
      <w:b/>
      <w:bCs/>
      <w:color w:val="4F81BD" w:themeColor="accent1"/>
      <w:sz w:val="26"/>
      <w:szCs w:val="26"/>
    </w:rPr>
  </w:style>
  <w:style w:type="character" w:customStyle="1" w:styleId="Heading3Char">
    <w:name w:val="Heading 3 Char"/>
    <w:basedOn w:val="DefaultParagraphFont"/>
    <w:link w:val="Heading3"/>
    <w:uiPriority w:val="9"/>
    <w:rsid w:val="00866A2E"/>
    <w:rPr>
      <w:rFonts w:ascii="Arial" w:eastAsiaTheme="majorEastAsia" w:hAnsi="Arial" w:cstheme="majorBidi"/>
      <w:b/>
      <w:bCs/>
      <w:color w:val="4F81BD" w:themeColor="accent1"/>
      <w:sz w:val="20"/>
    </w:rPr>
  </w:style>
  <w:style w:type="character" w:customStyle="1" w:styleId="Heading4Char">
    <w:name w:val="Heading 4 Char"/>
    <w:basedOn w:val="DefaultParagraphFont"/>
    <w:link w:val="Heading4"/>
    <w:uiPriority w:val="9"/>
    <w:rsid w:val="00866A2E"/>
    <w:rPr>
      <w:rFonts w:ascii="Arial" w:eastAsiaTheme="majorEastAsia" w:hAnsi="Arial" w:cstheme="majorBidi"/>
      <w:b/>
      <w:bCs/>
      <w:i/>
      <w:iCs/>
      <w:color w:val="4F81BD" w:themeColor="accent1"/>
      <w:sz w:val="20"/>
    </w:rPr>
  </w:style>
  <w:style w:type="character" w:customStyle="1" w:styleId="Heading5Char">
    <w:name w:val="Heading 5 Char"/>
    <w:basedOn w:val="DefaultParagraphFont"/>
    <w:link w:val="Heading5"/>
    <w:uiPriority w:val="9"/>
    <w:rsid w:val="00866A2E"/>
    <w:rPr>
      <w:rFonts w:ascii="Arial" w:eastAsiaTheme="majorEastAsia" w:hAnsi="Arial" w:cstheme="majorBidi"/>
      <w:color w:val="243F60" w:themeColor="accent1" w:themeShade="7F"/>
      <w:sz w:val="20"/>
    </w:rPr>
  </w:style>
  <w:style w:type="character" w:customStyle="1" w:styleId="Heading6Char">
    <w:name w:val="Heading 6 Char"/>
    <w:basedOn w:val="DefaultParagraphFont"/>
    <w:link w:val="Heading6"/>
    <w:uiPriority w:val="9"/>
    <w:rsid w:val="00866A2E"/>
    <w:rPr>
      <w:rFonts w:ascii="Arial" w:eastAsiaTheme="majorEastAsia" w:hAnsi="Arial" w:cstheme="majorBidi"/>
      <w:i/>
      <w:iCs/>
      <w:color w:val="243F60" w:themeColor="accent1" w:themeShade="7F"/>
      <w:sz w:val="20"/>
    </w:rPr>
  </w:style>
  <w:style w:type="character" w:customStyle="1" w:styleId="Heading7Char">
    <w:name w:val="Heading 7 Char"/>
    <w:basedOn w:val="DefaultParagraphFont"/>
    <w:link w:val="Heading7"/>
    <w:uiPriority w:val="9"/>
    <w:rsid w:val="00866A2E"/>
    <w:rPr>
      <w:rFonts w:ascii="Arial" w:eastAsiaTheme="majorEastAsia" w:hAnsi="Arial" w:cstheme="majorBidi"/>
      <w:i/>
      <w:iCs/>
      <w:color w:val="404040" w:themeColor="text1" w:themeTint="BF"/>
      <w:sz w:val="20"/>
    </w:rPr>
  </w:style>
  <w:style w:type="character" w:customStyle="1" w:styleId="Heading8Char">
    <w:name w:val="Heading 8 Char"/>
    <w:basedOn w:val="DefaultParagraphFont"/>
    <w:link w:val="Heading8"/>
    <w:uiPriority w:val="9"/>
    <w:rsid w:val="00866A2E"/>
    <w:rPr>
      <w:rFonts w:ascii="Arial" w:eastAsiaTheme="majorEastAsia" w:hAnsi="Arial" w:cstheme="majorBidi"/>
      <w:color w:val="404040" w:themeColor="text1" w:themeTint="BF"/>
      <w:sz w:val="20"/>
      <w:szCs w:val="20"/>
    </w:rPr>
  </w:style>
  <w:style w:type="character" w:customStyle="1" w:styleId="Heading9Char">
    <w:name w:val="Heading 9 Char"/>
    <w:basedOn w:val="DefaultParagraphFont"/>
    <w:link w:val="Heading9"/>
    <w:uiPriority w:val="9"/>
    <w:rsid w:val="00866A2E"/>
    <w:rPr>
      <w:rFonts w:ascii="Arial" w:eastAsiaTheme="majorEastAsia" w:hAnsi="Arial" w:cstheme="majorBidi"/>
      <w:i/>
      <w:iCs/>
      <w:color w:val="404040" w:themeColor="text1" w:themeTint="BF"/>
      <w:sz w:val="20"/>
      <w:szCs w:val="20"/>
    </w:rPr>
  </w:style>
  <w:style w:type="paragraph" w:styleId="Title">
    <w:name w:val="Title"/>
    <w:basedOn w:val="Normal"/>
    <w:next w:val="Normal"/>
    <w:link w:val="TitleChar"/>
    <w:uiPriority w:val="10"/>
    <w:qFormat/>
    <w:rsid w:val="00866A2E"/>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A2E"/>
    <w:rPr>
      <w:rFonts w:ascii="Arial" w:eastAsiaTheme="majorEastAsia" w:hAnsi="Arial"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66A2E"/>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A2E"/>
    <w:rPr>
      <w:rFonts w:ascii="Arial" w:eastAsiaTheme="majorEastAsia" w:hAnsi="Arial" w:cstheme="majorBidi"/>
      <w:i/>
      <w:iCs/>
      <w:color w:val="4F81BD" w:themeColor="accent1"/>
      <w:spacing w:val="15"/>
      <w:sz w:val="24"/>
      <w:szCs w:val="24"/>
    </w:rPr>
  </w:style>
  <w:style w:type="character" w:styleId="SubtleEmphasis">
    <w:name w:val="Subtle Emphasis"/>
    <w:basedOn w:val="DefaultParagraphFont"/>
    <w:uiPriority w:val="19"/>
    <w:qFormat/>
    <w:rsid w:val="00866A2E"/>
    <w:rPr>
      <w:rFonts w:ascii="Arial" w:hAnsi="Arial"/>
      <w:i/>
      <w:iCs/>
      <w:color w:val="808080" w:themeColor="text1" w:themeTint="7F"/>
    </w:rPr>
  </w:style>
  <w:style w:type="character" w:styleId="Emphasis">
    <w:name w:val="Emphasis"/>
    <w:basedOn w:val="DefaultParagraphFont"/>
    <w:uiPriority w:val="20"/>
    <w:qFormat/>
    <w:rsid w:val="00866A2E"/>
    <w:rPr>
      <w:i/>
      <w:iCs/>
    </w:rPr>
  </w:style>
  <w:style w:type="character" w:styleId="IntenseEmphasis">
    <w:name w:val="Intense Emphasis"/>
    <w:basedOn w:val="DefaultParagraphFont"/>
    <w:uiPriority w:val="21"/>
    <w:qFormat/>
    <w:rsid w:val="00866A2E"/>
    <w:rPr>
      <w:b/>
      <w:bCs/>
      <w:i/>
      <w:iCs/>
      <w:color w:val="4F81BD" w:themeColor="accent1"/>
    </w:rPr>
  </w:style>
  <w:style w:type="character" w:styleId="Strong">
    <w:name w:val="Strong"/>
    <w:basedOn w:val="DefaultParagraphFont"/>
    <w:uiPriority w:val="22"/>
    <w:qFormat/>
    <w:rsid w:val="00866A2E"/>
    <w:rPr>
      <w:b/>
      <w:bCs/>
    </w:rPr>
  </w:style>
  <w:style w:type="paragraph" w:styleId="Quote">
    <w:name w:val="Quote"/>
    <w:basedOn w:val="Normal"/>
    <w:next w:val="Normal"/>
    <w:link w:val="QuoteChar"/>
    <w:uiPriority w:val="29"/>
    <w:qFormat/>
    <w:rsid w:val="00866A2E"/>
    <w:rPr>
      <w:i/>
      <w:iCs/>
      <w:color w:val="000000" w:themeColor="text1"/>
    </w:rPr>
  </w:style>
  <w:style w:type="character" w:customStyle="1" w:styleId="QuoteChar">
    <w:name w:val="Quote Char"/>
    <w:basedOn w:val="DefaultParagraphFont"/>
    <w:link w:val="Quote"/>
    <w:uiPriority w:val="29"/>
    <w:rsid w:val="00866A2E"/>
    <w:rPr>
      <w:rFonts w:ascii="Arial" w:hAnsi="Arial"/>
      <w:i/>
      <w:iCs/>
      <w:color w:val="000000" w:themeColor="text1"/>
      <w:sz w:val="20"/>
    </w:rPr>
  </w:style>
  <w:style w:type="paragraph" w:styleId="IntenseQuote">
    <w:name w:val="Intense Quote"/>
    <w:basedOn w:val="Normal"/>
    <w:next w:val="Normal"/>
    <w:link w:val="IntenseQuoteChar"/>
    <w:uiPriority w:val="30"/>
    <w:qFormat/>
    <w:rsid w:val="00866A2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A2E"/>
    <w:rPr>
      <w:rFonts w:ascii="Arial" w:hAnsi="Arial"/>
      <w:b/>
      <w:bCs/>
      <w:i/>
      <w:iCs/>
      <w:color w:val="4F81BD" w:themeColor="accent1"/>
      <w:sz w:val="20"/>
    </w:rPr>
  </w:style>
  <w:style w:type="character" w:styleId="SubtleReference">
    <w:name w:val="Subtle Reference"/>
    <w:basedOn w:val="DefaultParagraphFont"/>
    <w:uiPriority w:val="31"/>
    <w:qFormat/>
    <w:rsid w:val="00866A2E"/>
    <w:rPr>
      <w:smallCaps/>
      <w:color w:val="C0504D" w:themeColor="accent2"/>
      <w:u w:val="single"/>
    </w:rPr>
  </w:style>
  <w:style w:type="character" w:styleId="IntenseReference">
    <w:name w:val="Intense Reference"/>
    <w:basedOn w:val="DefaultParagraphFont"/>
    <w:uiPriority w:val="32"/>
    <w:qFormat/>
    <w:rsid w:val="00866A2E"/>
    <w:rPr>
      <w:b/>
      <w:bCs/>
      <w:smallCaps/>
      <w:color w:val="C0504D" w:themeColor="accent2"/>
      <w:spacing w:val="5"/>
      <w:u w:val="single"/>
    </w:rPr>
  </w:style>
  <w:style w:type="character" w:styleId="BookTitle">
    <w:name w:val="Book Title"/>
    <w:basedOn w:val="DefaultParagraphFont"/>
    <w:uiPriority w:val="33"/>
    <w:qFormat/>
    <w:rsid w:val="00866A2E"/>
    <w:rPr>
      <w:b/>
      <w:bCs/>
      <w:smallCaps/>
      <w:spacing w:val="5"/>
    </w:rPr>
  </w:style>
  <w:style w:type="paragraph" w:styleId="ListParagraph">
    <w:name w:val="List Paragraph"/>
    <w:basedOn w:val="Normal"/>
    <w:uiPriority w:val="34"/>
    <w:qFormat/>
    <w:rsid w:val="00866A2E"/>
    <w:pPr>
      <w:ind w:left="720"/>
      <w:contextualSpacing/>
    </w:pPr>
  </w:style>
  <w:style w:type="paragraph" w:styleId="Header">
    <w:name w:val="header"/>
    <w:basedOn w:val="Normal"/>
    <w:link w:val="HeaderChar"/>
    <w:uiPriority w:val="99"/>
    <w:unhideWhenUsed/>
    <w:rsid w:val="00A123D0"/>
    <w:pPr>
      <w:tabs>
        <w:tab w:val="center" w:pos="4680"/>
        <w:tab w:val="right" w:pos="9360"/>
      </w:tabs>
    </w:pPr>
  </w:style>
  <w:style w:type="character" w:customStyle="1" w:styleId="HeaderChar">
    <w:name w:val="Header Char"/>
    <w:basedOn w:val="DefaultParagraphFont"/>
    <w:link w:val="Header"/>
    <w:uiPriority w:val="99"/>
    <w:rsid w:val="00A123D0"/>
    <w:rPr>
      <w:rFonts w:ascii="Arial" w:hAnsi="Arial"/>
      <w:sz w:val="20"/>
    </w:rPr>
  </w:style>
  <w:style w:type="paragraph" w:styleId="Footer">
    <w:name w:val="footer"/>
    <w:basedOn w:val="Normal"/>
    <w:link w:val="FooterChar"/>
    <w:uiPriority w:val="99"/>
    <w:unhideWhenUsed/>
    <w:rsid w:val="00A123D0"/>
    <w:pPr>
      <w:tabs>
        <w:tab w:val="center" w:pos="4680"/>
        <w:tab w:val="right" w:pos="9360"/>
      </w:tabs>
    </w:pPr>
  </w:style>
  <w:style w:type="character" w:customStyle="1" w:styleId="FooterChar">
    <w:name w:val="Footer Char"/>
    <w:basedOn w:val="DefaultParagraphFont"/>
    <w:link w:val="Footer"/>
    <w:uiPriority w:val="99"/>
    <w:rsid w:val="00A123D0"/>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6897">
      <w:bodyDiv w:val="1"/>
      <w:marLeft w:val="0"/>
      <w:marRight w:val="0"/>
      <w:marTop w:val="0"/>
      <w:marBottom w:val="0"/>
      <w:divBdr>
        <w:top w:val="none" w:sz="0" w:space="0" w:color="auto"/>
        <w:left w:val="none" w:sz="0" w:space="0" w:color="auto"/>
        <w:bottom w:val="none" w:sz="0" w:space="0" w:color="auto"/>
        <w:right w:val="none" w:sz="0" w:space="0" w:color="auto"/>
      </w:divBdr>
    </w:div>
    <w:div w:id="820997194">
      <w:bodyDiv w:val="1"/>
      <w:marLeft w:val="0"/>
      <w:marRight w:val="0"/>
      <w:marTop w:val="0"/>
      <w:marBottom w:val="0"/>
      <w:divBdr>
        <w:top w:val="none" w:sz="0" w:space="0" w:color="auto"/>
        <w:left w:val="none" w:sz="0" w:space="0" w:color="auto"/>
        <w:bottom w:val="none" w:sz="0" w:space="0" w:color="auto"/>
        <w:right w:val="none" w:sz="0" w:space="0" w:color="auto"/>
      </w:divBdr>
    </w:div>
    <w:div w:id="929004466">
      <w:bodyDiv w:val="1"/>
      <w:marLeft w:val="0"/>
      <w:marRight w:val="0"/>
      <w:marTop w:val="0"/>
      <w:marBottom w:val="0"/>
      <w:divBdr>
        <w:top w:val="none" w:sz="0" w:space="0" w:color="auto"/>
        <w:left w:val="none" w:sz="0" w:space="0" w:color="auto"/>
        <w:bottom w:val="none" w:sz="0" w:space="0" w:color="auto"/>
        <w:right w:val="none" w:sz="0" w:space="0" w:color="auto"/>
      </w:divBdr>
    </w:div>
    <w:div w:id="190305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a7d82d0-f218-43e3-9064-436b927967cc" xsi:nil="true"/>
    <lcf76f155ced4ddcb4097134ff3c332f xmlns="2d29fbc8-ec72-4fae-9a75-8bfbd1ff71d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3ABAC1E91B37E4689EC8DBA75636044" ma:contentTypeVersion="11" ma:contentTypeDescription="Create a new document." ma:contentTypeScope="" ma:versionID="4cf6c3b7ec1d1cdea64b843032b7b48b">
  <xsd:schema xmlns:xsd="http://www.w3.org/2001/XMLSchema" xmlns:xs="http://www.w3.org/2001/XMLSchema" xmlns:p="http://schemas.microsoft.com/office/2006/metadata/properties" xmlns:ns2="2d29fbc8-ec72-4fae-9a75-8bfbd1ff71d9" xmlns:ns3="5a7d82d0-f218-43e3-9064-436b927967cc" targetNamespace="http://schemas.microsoft.com/office/2006/metadata/properties" ma:root="true" ma:fieldsID="b74933c2a462c18a361fa4c44e4e4814" ns2:_="" ns3:_="">
    <xsd:import namespace="2d29fbc8-ec72-4fae-9a75-8bfbd1ff71d9"/>
    <xsd:import namespace="5a7d82d0-f218-43e3-9064-436b927967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9fbc8-ec72-4fae-9a75-8bfbd1ff71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97cd7d-6c1d-4eee-96e1-49f110665ac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d82d0-f218-43e3-9064-436b927967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7d2cd9-af28-4d0f-b6fd-8d910d3c9262}" ma:internalName="TaxCatchAll" ma:showField="CatchAllData" ma:web="5a7d82d0-f218-43e3-9064-436b927967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97340-AE22-4FBE-9AE4-2AD89211D2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E42B09-4A8C-4B45-932E-5D3EDD56D7AA}">
  <ds:schemaRefs>
    <ds:schemaRef ds:uri="http://schemas.microsoft.com/sharepoint/v3/contenttype/forms"/>
  </ds:schemaRefs>
</ds:datastoreItem>
</file>

<file path=customXml/itemProps3.xml><?xml version="1.0" encoding="utf-8"?>
<ds:datastoreItem xmlns:ds="http://schemas.openxmlformats.org/officeDocument/2006/customXml" ds:itemID="{9E8BA1F9-0D34-487D-B590-B1B88F0EB849}"/>
</file>

<file path=docProps/app.xml><?xml version="1.0" encoding="utf-8"?>
<Properties xmlns="http://schemas.openxmlformats.org/officeDocument/2006/extended-properties" xmlns:vt="http://schemas.openxmlformats.org/officeDocument/2006/docPropsVTypes">
  <Template>Normal.dotm</Template>
  <TotalTime>46</TotalTime>
  <Pages>27</Pages>
  <Words>11381</Words>
  <Characters>66470</Characters>
  <Application>Microsoft Office Word</Application>
  <DocSecurity>0</DocSecurity>
  <Lines>1329</Lines>
  <Paragraphs>544</Paragraphs>
  <ScaleCrop>false</ScaleCrop>
  <HeadingPairs>
    <vt:vector size="2" baseType="variant">
      <vt:variant>
        <vt:lpstr>Title</vt:lpstr>
      </vt:variant>
      <vt:variant>
        <vt:i4>1</vt:i4>
      </vt:variant>
    </vt:vector>
  </HeadingPairs>
  <TitlesOfParts>
    <vt:vector size="1" baseType="lpstr">
      <vt:lpstr/>
    </vt:vector>
  </TitlesOfParts>
  <Company>Crowe LLP</Company>
  <LinksUpToDate>false</LinksUpToDate>
  <CharactersWithSpaces>77307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Rachur, Achyuth</dc:creator>
  <cp:keywords/>
  <dc:description/>
  <cp:lastModifiedBy>Rachur, Achyuth</cp:lastModifiedBy>
  <cp:revision>7</cp:revision>
  <dcterms:created xsi:type="dcterms:W3CDTF">2025-09-23T19:00:00Z</dcterms:created>
  <dcterms:modified xsi:type="dcterms:W3CDTF">2025-09-26T01:55:00Z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0x01010023ABAC1E91B37E4689EC8DBA75636044</vt:lpwstr>
  </property>
  <property fmtid="{D5CDD505-2E9C-101B-9397-08002B2CF9AE}" pid="3" name="docLang">
    <vt:lpwstr>en</vt:lpwstr>
  </property>
</Properties>
</file>