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Northstar Analytics</w:t>
        <w:br/>
      </w:r>
    </w:p>
    <w:p>
      <w:pPr>
        <w:jc w:val="center"/>
      </w:pPr>
      <w:r>
        <w:rPr>
          <w:b/>
          <w:sz w:val="38"/>
        </w:rPr>
        <w:t>CECL Suite v4.2</w:t>
        <w:br/>
        <w:t>Model Monitoring &amp; Governance Guide</w:t>
      </w:r>
    </w:p>
    <w:p>
      <w:pPr>
        <w:jc w:val="center"/>
      </w:pPr>
      <w:r>
        <w:rPr>
          <w:sz w:val="24"/>
        </w:rPr>
        <w:t>Document ID: NA-CECL-MON-4.2</w:t>
        <w:br/>
        <w:t>Release Date: February 17, 2026</w:t>
      </w:r>
    </w:p>
    <w:p>
      <w:pPr>
        <w:jc w:val="center"/>
      </w:pPr>
      <w:r>
        <w:rPr>
          <w:i/>
          <w:sz w:val="22"/>
        </w:rPr>
        <w:t>Confidential - For Client Governance &amp; Monitoring Use Only</w:t>
      </w:r>
    </w:p>
    <w:p/>
    <w:p>
      <w:pPr>
        <w:pStyle w:val="BodyText"/>
      </w:pPr>
      <w:r>
        <w:rPr>
          <w:b/>
        </w:rPr>
        <w:t xml:space="preserve">Prepared by: </w:t>
      </w:r>
      <w:r>
        <w:t>Northstar Analytics, Model Support &amp; Governance Enablement</w:t>
        <w:br/>
      </w:r>
      <w:r>
        <w:rPr>
          <w:b/>
        </w:rPr>
        <w:t xml:space="preserve">Primary contacts: </w:t>
      </w:r>
      <w:r>
        <w:t>modelsupport@northstaranalytics.example | governance@northstaranalytics.example</w:t>
        <w:br/>
      </w:r>
      <w:r>
        <w:rPr>
          <w:b/>
        </w:rPr>
        <w:t xml:space="preserve">Intended users: </w:t>
      </w:r>
      <w:r>
        <w:t>Client Model Owners, Model Risk Management, Finance Close Reviewers, Data Stewards</w:t>
        <w:br/>
      </w:r>
    </w:p>
    <w:p>
      <w:r>
        <w:br w:type="page"/>
      </w:r>
    </w:p>
    <w:p>
      <w:pPr>
        <w:pStyle w:val="Heading1"/>
      </w:pPr>
      <w:r>
        <w:t>Document Control</w:t>
      </w:r>
    </w:p>
    <w:tbl>
      <w:tblPr>
        <w:tblW w:type="auto" w:w="0"/>
        <w:tblLayout w:type="autofit"/>
        <w:tblLook w:firstColumn="1" w:firstRow="1" w:lastColumn="0" w:lastRow="0" w:noHBand="0" w:noVBand="1" w:val="04A0"/>
      </w:tblPr>
      <w:tblGrid>
        <w:gridCol w:w="1728"/>
        <w:gridCol w:w="1728"/>
        <w:gridCol w:w="1728"/>
        <w:gridCol w:w="1728"/>
        <w:gridCol w:w="1728"/>
      </w:tblGrid>
      <w:tr>
        <w:trPr>
          <w:tblHeader w:val="true"/>
          <w:cantSplit/>
        </w:trPr>
        <w:tc>
          <w:tcPr>
            <w:tcW w:type="dxa" w:w="1728"/>
          </w:tcPr>
          <w:p>
            <w:r>
              <w:t>Version</w:t>
            </w:r>
          </w:p>
        </w:tc>
        <w:tc>
          <w:tcPr>
            <w:tcW w:type="dxa" w:w="1728"/>
          </w:tcPr>
          <w:p>
            <w:r>
              <w:t>Date</w:t>
            </w:r>
          </w:p>
        </w:tc>
        <w:tc>
          <w:tcPr>
            <w:tcW w:type="dxa" w:w="1728"/>
          </w:tcPr>
          <w:p>
            <w:r>
              <w:t>Author</w:t>
            </w:r>
          </w:p>
        </w:tc>
        <w:tc>
          <w:tcPr>
            <w:tcW w:type="dxa" w:w="1728"/>
          </w:tcPr>
          <w:p>
            <w:r>
              <w:t>Reviewer</w:t>
            </w:r>
          </w:p>
        </w:tc>
        <w:tc>
          <w:tcPr>
            <w:tcW w:type="dxa" w:w="1728"/>
          </w:tcPr>
          <w:p>
            <w:r>
              <w:t>Summary of Changes</w:t>
            </w:r>
          </w:p>
        </w:tc>
      </w:tr>
      <w:tr>
        <w:trPr>
          <w:cantSplit/>
        </w:trPr>
        <w:tc>
          <w:tcPr>
            <w:tcW w:type="dxa" w:w="1728"/>
          </w:tcPr>
          <w:p>
            <w:r>
              <w:t>1.0</w:t>
            </w:r>
          </w:p>
        </w:tc>
        <w:tc>
          <w:tcPr>
            <w:tcW w:type="dxa" w:w="1728"/>
          </w:tcPr>
          <w:p>
            <w:r>
              <w:t>2025-10-01</w:t>
            </w:r>
          </w:p>
        </w:tc>
        <w:tc>
          <w:tcPr>
            <w:tcW w:type="dxa" w:w="1728"/>
          </w:tcPr>
          <w:p>
            <w:r>
              <w:t>M. Patel</w:t>
            </w:r>
          </w:p>
        </w:tc>
        <w:tc>
          <w:tcPr>
            <w:tcW w:type="dxa" w:w="1728"/>
          </w:tcPr>
          <w:p>
            <w:r>
              <w:t>R. Chen</w:t>
            </w:r>
          </w:p>
        </w:tc>
        <w:tc>
          <w:tcPr>
            <w:tcW w:type="dxa" w:w="1728"/>
          </w:tcPr>
          <w:p>
            <w:r>
              <w:t>Initial monitoring framework and sample KPI catalog</w:t>
            </w:r>
          </w:p>
        </w:tc>
      </w:tr>
      <w:tr>
        <w:trPr>
          <w:cantSplit/>
        </w:trPr>
        <w:tc>
          <w:tcPr>
            <w:tcW w:type="dxa" w:w="1728"/>
          </w:tcPr>
          <w:p>
            <w:r>
              <w:t>1.1</w:t>
            </w:r>
          </w:p>
        </w:tc>
        <w:tc>
          <w:tcPr>
            <w:tcW w:type="dxa" w:w="1728"/>
          </w:tcPr>
          <w:p>
            <w:r>
              <w:t>2025-12-20</w:t>
            </w:r>
          </w:p>
        </w:tc>
        <w:tc>
          <w:tcPr>
            <w:tcW w:type="dxa" w:w="1728"/>
          </w:tcPr>
          <w:p>
            <w:r>
              <w:t>M. Patel</w:t>
            </w:r>
          </w:p>
        </w:tc>
        <w:tc>
          <w:tcPr>
            <w:tcW w:type="dxa" w:w="1728"/>
          </w:tcPr>
          <w:p>
            <w:r>
              <w:t>R. Chen</w:t>
            </w:r>
          </w:p>
        </w:tc>
        <w:tc>
          <w:tcPr>
            <w:tcW w:type="dxa" w:w="1728"/>
          </w:tcPr>
          <w:p>
            <w:r>
              <w:t>Added drift thresholds; expanded override governance</w:t>
            </w:r>
          </w:p>
        </w:tc>
      </w:tr>
      <w:tr>
        <w:trPr>
          <w:cantSplit/>
        </w:trPr>
        <w:tc>
          <w:tcPr>
            <w:tcW w:type="dxa" w:w="1728"/>
          </w:tcPr>
          <w:p>
            <w:r>
              <w:t>1.2</w:t>
            </w:r>
          </w:p>
        </w:tc>
        <w:tc>
          <w:tcPr>
            <w:tcW w:type="dxa" w:w="1728"/>
          </w:tcPr>
          <w:p>
            <w:r>
              <w:t>2026-02-17</w:t>
            </w:r>
          </w:p>
        </w:tc>
        <w:tc>
          <w:tcPr>
            <w:tcW w:type="dxa" w:w="1728"/>
          </w:tcPr>
          <w:p>
            <w:r>
              <w:t>M. Patel</w:t>
            </w:r>
          </w:p>
        </w:tc>
        <w:tc>
          <w:tcPr>
            <w:tcW w:type="dxa" w:w="1728"/>
          </w:tcPr>
          <w:p>
            <w:r>
              <w:t>R. Chen</w:t>
            </w:r>
          </w:p>
        </w:tc>
        <w:tc>
          <w:tcPr>
            <w:tcW w:type="dxa" w:w="1728"/>
          </w:tcPr>
          <w:p>
            <w:r>
              <w:t>Refined SR 11-7 alignment matrix; added escalation paths and evidence checklists</w:t>
            </w:r>
          </w:p>
        </w:tc>
      </w:tr>
    </w:tbl>
    <w:p/>
    <w:p>
      <w:pPr>
        <w:pStyle w:val="Heading2"/>
      </w:pPr>
      <w:r>
        <w:t>Distribution and Use</w:t>
      </w:r>
    </w:p>
    <w:p>
      <w:pPr>
        <w:pStyle w:val="BodyText"/>
      </w:pPr>
      <w:r>
        <w:t>This guide describes a vendor-recommended monitoring and governance approach for the Northstar CECL Suite. It supports establishing repeatable monitoring routines, defining thresholds, documenting exceptions, and maintaining evidence for model risk management. This document is written in a vendor governance enablement format and is not aligned to client model documentation templates.</w:t>
      </w:r>
    </w:p>
    <w:p>
      <w:r>
        <w:br w:type="page"/>
      </w:r>
    </w:p>
    <w:p>
      <w:pPr>
        <w:pStyle w:val="Heading1"/>
      </w:pPr>
      <w:r>
        <w:t>Table of Contents (Generated in Word)</w:t>
      </w:r>
    </w:p>
    <w:p>
      <w:pPr>
        <w:pStyle w:val="BodyText"/>
      </w:pPr>
      <w:r>
        <w:t>Placeholder for Word-generated Table of Contents. To update: References &gt; Table of Contents &gt; Update Table.</w:t>
      </w:r>
    </w:p>
    <w:p>
      <w:pPr>
        <w:pStyle w:val="BodyText"/>
      </w:pPr>
      <w:r>
        <w:t>1. Purpose, Scope, and Definitions</w:t>
      </w:r>
    </w:p>
    <w:p>
      <w:pPr>
        <w:pStyle w:val="BodyText"/>
      </w:pPr>
      <w:r>
        <w:t>2. Monitoring &amp; Governance Workflow</w:t>
      </w:r>
    </w:p>
    <w:p>
      <w:pPr>
        <w:pStyle w:val="BodyText"/>
      </w:pPr>
      <w:r>
        <w:t>3. Monitoring Cadence and Minimum Expectations</w:t>
      </w:r>
    </w:p>
    <w:p>
      <w:pPr>
        <w:pStyle w:val="BodyText"/>
      </w:pPr>
      <w:r>
        <w:t>4. Data Quality &amp; Data Drift Monitoring</w:t>
      </w:r>
    </w:p>
    <w:p>
      <w:pPr>
        <w:pStyle w:val="BodyText"/>
      </w:pPr>
      <w:r>
        <w:t>5. Model Performance Monitoring (PD/LGD/EAD/Lifetime ECL)</w:t>
      </w:r>
    </w:p>
    <w:p>
      <w:pPr>
        <w:pStyle w:val="BodyText"/>
      </w:pPr>
      <w:r>
        <w:t>6. Scenario Governance (Macro Inputs and Weights)</w:t>
      </w:r>
    </w:p>
    <w:p>
      <w:pPr>
        <w:pStyle w:val="BodyText"/>
      </w:pPr>
      <w:r>
        <w:t>7. Overrides, Qualitative Adjustments, and Management Overlays</w:t>
      </w:r>
    </w:p>
    <w:p>
      <w:pPr>
        <w:pStyle w:val="BodyText"/>
      </w:pPr>
      <w:r>
        <w:t>8. Thresholds, Escalation, and Issue Management</w:t>
      </w:r>
    </w:p>
    <w:p>
      <w:pPr>
        <w:pStyle w:val="BodyText"/>
      </w:pPr>
      <w:r>
        <w:t>9. Model Change Management and Release Governance</w:t>
      </w:r>
    </w:p>
    <w:p>
      <w:pPr>
        <w:pStyle w:val="BodyText"/>
      </w:pPr>
      <w:r>
        <w:t>10. Evidence, Auditability, and Retention</w:t>
      </w:r>
    </w:p>
    <w:p>
      <w:pPr>
        <w:pStyle w:val="BodyText"/>
      </w:pPr>
      <w:r>
        <w:t>11. Roles, RACI, and Operating Committees (Vendor Terminology)</w:t>
      </w:r>
    </w:p>
    <w:p>
      <w:pPr>
        <w:pStyle w:val="BodyText"/>
      </w:pPr>
      <w:r>
        <w:t>12. Regulatory Alignment Matrix (Illustrative)</w:t>
      </w:r>
    </w:p>
    <w:p>
      <w:pPr>
        <w:pStyle w:val="BodyText"/>
      </w:pPr>
      <w:r>
        <w:t>Appendices (Sample Pack, KPI Dictionary, Templates, Glossary)</w:t>
      </w:r>
    </w:p>
    <w:p>
      <w:r>
        <w:br w:type="page"/>
      </w:r>
    </w:p>
    <w:p>
      <w:pPr>
        <w:pStyle w:val="Heading1"/>
      </w:pPr>
      <w:r>
        <w:t>1. Purpose, Scope, and Definitions</w:t>
      </w:r>
    </w:p>
    <w:p>
      <w:pPr>
        <w:pStyle w:val="BodyText"/>
      </w:pPr>
      <w:r>
        <w:t>Purpose: define a structured monitoring program for the CECL Suite supporting data integrity, stability checks, output review, exception handling, and evidence retention.</w:t>
      </w:r>
    </w:p>
    <w:p>
      <w:pPr>
        <w:pStyle w:val="BodyText"/>
      </w:pPr>
      <w:r>
        <w:t>Scope: monitoring of inputs (data and scenarios) and outputs (ECL metrics and drivers), thresholds and escalation, issues and changes, and evidence retention. This guide complements client governance policies.</w:t>
      </w:r>
    </w:p>
    <w:p>
      <w:pPr>
        <w:pStyle w:val="Heading2"/>
      </w:pPr>
      <w:r>
        <w:t>1.1 Key Definitions (Vendor)</w:t>
      </w:r>
    </w:p>
    <w:tbl>
      <w:tblPr>
        <w:tblW w:type="auto" w:w="0"/>
        <w:tblLayout w:type="autofit"/>
        <w:tblLook w:firstColumn="1" w:firstRow="1" w:lastColumn="0" w:lastRow="0" w:noHBand="0" w:noVBand="1" w:val="04A0"/>
      </w:tblPr>
      <w:tblGrid>
        <w:gridCol w:w="4320"/>
        <w:gridCol w:w="4320"/>
      </w:tblGrid>
      <w:tr>
        <w:trPr>
          <w:tblHeader w:val="true"/>
          <w:cantSplit/>
        </w:trPr>
        <w:tc>
          <w:tcPr>
            <w:tcW w:type="dxa" w:w="4320"/>
          </w:tcPr>
          <w:p>
            <w:r>
              <w:t>Term</w:t>
            </w:r>
          </w:p>
        </w:tc>
        <w:tc>
          <w:tcPr>
            <w:tcW w:type="dxa" w:w="4320"/>
          </w:tcPr>
          <w:p>
            <w:r>
              <w:t>Definition</w:t>
            </w:r>
          </w:p>
        </w:tc>
      </w:tr>
      <w:tr>
        <w:trPr>
          <w:cantSplit/>
        </w:trPr>
        <w:tc>
          <w:tcPr>
            <w:tcW w:type="dxa" w:w="4320"/>
          </w:tcPr>
          <w:p>
            <w:r>
              <w:t>Monitoring Pack</w:t>
            </w:r>
          </w:p>
        </w:tc>
        <w:tc>
          <w:tcPr>
            <w:tcW w:type="dxa" w:w="4320"/>
          </w:tcPr>
          <w:p>
            <w:r>
              <w:t>Monthly set of KPI tables, variance views, and exception logs supporting close sign-off.</w:t>
            </w:r>
          </w:p>
        </w:tc>
      </w:tr>
      <w:tr>
        <w:trPr>
          <w:cantSplit/>
        </w:trPr>
        <w:tc>
          <w:tcPr>
            <w:tcW w:type="dxa" w:w="4320"/>
          </w:tcPr>
          <w:p>
            <w:r>
              <w:t>Exception</w:t>
            </w:r>
          </w:p>
        </w:tc>
        <w:tc>
          <w:tcPr>
            <w:tcW w:type="dxa" w:w="4320"/>
          </w:tcPr>
          <w:p>
            <w:r>
              <w:t>Deviation from rules/thresholds requiring review and documentation.</w:t>
            </w:r>
          </w:p>
        </w:tc>
      </w:tr>
      <w:tr>
        <w:trPr>
          <w:cantSplit/>
        </w:trPr>
        <w:tc>
          <w:tcPr>
            <w:tcW w:type="dxa" w:w="4320"/>
          </w:tcPr>
          <w:p>
            <w:r>
              <w:t>Override</w:t>
            </w:r>
          </w:p>
        </w:tc>
        <w:tc>
          <w:tcPr>
            <w:tcW w:type="dxa" w:w="4320"/>
          </w:tcPr>
          <w:p>
            <w:r>
              <w:t>Controlled adjustment within configuration per client governance.</w:t>
            </w:r>
          </w:p>
        </w:tc>
      </w:tr>
      <w:tr>
        <w:trPr>
          <w:cantSplit/>
        </w:trPr>
        <w:tc>
          <w:tcPr>
            <w:tcW w:type="dxa" w:w="4320"/>
          </w:tcPr>
          <w:p>
            <w:r>
              <w:t>Overlay</w:t>
            </w:r>
          </w:p>
        </w:tc>
        <w:tc>
          <w:tcPr>
            <w:tcW w:type="dxa" w:w="4320"/>
          </w:tcPr>
          <w:p>
            <w:r>
              <w:t>Management adjustment outside model output.</w:t>
            </w:r>
          </w:p>
        </w:tc>
      </w:tr>
      <w:tr>
        <w:trPr>
          <w:cantSplit/>
        </w:trPr>
        <w:tc>
          <w:tcPr>
            <w:tcW w:type="dxa" w:w="4320"/>
          </w:tcPr>
          <w:p>
            <w:r>
              <w:t>Drift</w:t>
            </w:r>
          </w:p>
        </w:tc>
        <w:tc>
          <w:tcPr>
            <w:tcW w:type="dxa" w:w="4320"/>
          </w:tcPr>
          <w:p>
            <w:r>
              <w:t>Distributional shift in drivers or mix that may affect performance.</w:t>
            </w:r>
          </w:p>
        </w:tc>
      </w:tr>
    </w:tbl>
    <w:p>
      <w:r>
        <w:br w:type="page"/>
      </w:r>
    </w:p>
    <w:p>
      <w:pPr>
        <w:pStyle w:val="Heading1"/>
      </w:pPr>
      <w:r>
        <w:t>2. Monitoring &amp; Governance Workflow</w:t>
      </w:r>
    </w:p>
    <w:p>
      <w:pPr>
        <w:pStyle w:val="BodyText"/>
      </w:pPr>
      <w:r>
        <w:t>Monitoring is integrated with the close run: pre-run QC and drift screening, post-run reasonableness and variance checks, documented exception handling, and archiving of evidence bundles.</w:t>
      </w:r>
    </w:p>
    <w:p>
      <w:r>
        <w:drawing>
          <wp:inline xmlns:a="http://schemas.openxmlformats.org/drawingml/2006/main" xmlns:pic="http://schemas.openxmlformats.org/drawingml/2006/picture">
            <wp:extent cx="6217920" cy="1989734"/>
            <wp:docPr id="1" name="Picture 1"/>
            <wp:cNvGraphicFramePr>
              <a:graphicFrameLocks noChangeAspect="1"/>
            </wp:cNvGraphicFramePr>
            <a:graphic>
              <a:graphicData uri="http://schemas.openxmlformats.org/drawingml/2006/picture">
                <pic:pic>
                  <pic:nvPicPr>
                    <pic:cNvPr id="0" name="ns_monitoring_workflow.png"/>
                    <pic:cNvPicPr/>
                  </pic:nvPicPr>
                  <pic:blipFill>
                    <a:blip r:embed="rId11"/>
                    <a:stretch>
                      <a:fillRect/>
                    </a:stretch>
                  </pic:blipFill>
                  <pic:spPr>
                    <a:xfrm>
                      <a:off x="0" y="0"/>
                      <a:ext cx="6217920" cy="1989734"/>
                    </a:xfrm>
                    <a:prstGeom prst="rect"/>
                  </pic:spPr>
                </pic:pic>
              </a:graphicData>
            </a:graphic>
          </wp:inline>
        </w:drawing>
      </w:r>
    </w:p>
    <w:p>
      <w:r>
        <w:br w:type="page"/>
      </w:r>
    </w:p>
    <w:p>
      <w:pPr>
        <w:pStyle w:val="Heading1"/>
      </w:pPr>
      <w:r>
        <w:t>3. Monitoring Cadence and Minimum Expectations</w:t>
      </w:r>
    </w:p>
    <w:tbl>
      <w:tblPr>
        <w:tblW w:type="auto" w:w="0"/>
        <w:tblLayout w:type="autofit"/>
        <w:tblLook w:firstColumn="1" w:firstRow="1" w:lastColumn="0" w:lastRow="0" w:noHBand="0" w:noVBand="1" w:val="04A0"/>
      </w:tblPr>
      <w:tblGrid>
        <w:gridCol w:w="2160"/>
        <w:gridCol w:w="2160"/>
        <w:gridCol w:w="2160"/>
        <w:gridCol w:w="2160"/>
      </w:tblGrid>
      <w:tr>
        <w:trPr>
          <w:tblHeader w:val="true"/>
          <w:cantSplit/>
        </w:trPr>
        <w:tc>
          <w:tcPr>
            <w:tcW w:type="dxa" w:w="2160"/>
          </w:tcPr>
          <w:p>
            <w:r>
              <w:t>Frequency</w:t>
            </w:r>
          </w:p>
        </w:tc>
        <w:tc>
          <w:tcPr>
            <w:tcW w:type="dxa" w:w="2160"/>
          </w:tcPr>
          <w:p>
            <w:r>
              <w:t>Monitoring Activities</w:t>
            </w:r>
          </w:p>
        </w:tc>
        <w:tc>
          <w:tcPr>
            <w:tcW w:type="dxa" w:w="2160"/>
          </w:tcPr>
          <w:p>
            <w:r>
              <w:t>Primary Owner</w:t>
            </w:r>
          </w:p>
        </w:tc>
        <w:tc>
          <w:tcPr>
            <w:tcW w:type="dxa" w:w="2160"/>
          </w:tcPr>
          <w:p>
            <w:r>
              <w:t>Outputs</w:t>
            </w:r>
          </w:p>
        </w:tc>
      </w:tr>
      <w:tr>
        <w:trPr>
          <w:cantSplit/>
        </w:trPr>
        <w:tc>
          <w:tcPr>
            <w:tcW w:type="dxa" w:w="2160"/>
          </w:tcPr>
          <w:p>
            <w:r>
              <w:t>Monthly (Close)</w:t>
            </w:r>
          </w:p>
        </w:tc>
        <w:tc>
          <w:tcPr>
            <w:tcW w:type="dxa" w:w="2160"/>
          </w:tcPr>
          <w:p>
            <w:r>
              <w:t>QC, drift screening, output variance checks, override log updates</w:t>
            </w:r>
          </w:p>
        </w:tc>
        <w:tc>
          <w:tcPr>
            <w:tcW w:type="dxa" w:w="2160"/>
          </w:tcPr>
          <w:p>
            <w:r>
              <w:t>Data Steward / Finance Reviewer</w:t>
            </w:r>
          </w:p>
        </w:tc>
        <w:tc>
          <w:tcPr>
            <w:tcW w:type="dxa" w:w="2160"/>
          </w:tcPr>
          <w:p>
            <w:r>
              <w:t>Monitoring pack + sign-off</w:t>
            </w:r>
          </w:p>
        </w:tc>
      </w:tr>
      <w:tr>
        <w:trPr>
          <w:cantSplit/>
        </w:trPr>
        <w:tc>
          <w:tcPr>
            <w:tcW w:type="dxa" w:w="2160"/>
          </w:tcPr>
          <w:p>
            <w:r>
              <w:t>Quarterly</w:t>
            </w:r>
          </w:p>
        </w:tc>
        <w:tc>
          <w:tcPr>
            <w:tcW w:type="dxa" w:w="2160"/>
          </w:tcPr>
          <w:p>
            <w:r>
              <w:t>Threshold recalibration review; segmentation stability review</w:t>
            </w:r>
          </w:p>
        </w:tc>
        <w:tc>
          <w:tcPr>
            <w:tcW w:type="dxa" w:w="2160"/>
          </w:tcPr>
          <w:p>
            <w:r>
              <w:t>Model Owner / MRM</w:t>
            </w:r>
          </w:p>
        </w:tc>
        <w:tc>
          <w:tcPr>
            <w:tcW w:type="dxa" w:w="2160"/>
          </w:tcPr>
          <w:p>
            <w:r>
              <w:t>Quarterly monitoring memo</w:t>
            </w:r>
          </w:p>
        </w:tc>
      </w:tr>
      <w:tr>
        <w:trPr>
          <w:cantSplit/>
        </w:trPr>
        <w:tc>
          <w:tcPr>
            <w:tcW w:type="dxa" w:w="2160"/>
          </w:tcPr>
          <w:p>
            <w:r>
              <w:t>Annually</w:t>
            </w:r>
          </w:p>
        </w:tc>
        <w:tc>
          <w:tcPr>
            <w:tcW w:type="dxa" w:w="2160"/>
          </w:tcPr>
          <w:p>
            <w:r>
              <w:t>Performance assessment, benchmarking, documentation refresh</w:t>
            </w:r>
          </w:p>
        </w:tc>
        <w:tc>
          <w:tcPr>
            <w:tcW w:type="dxa" w:w="2160"/>
          </w:tcPr>
          <w:p>
            <w:r>
              <w:t>Model Owner / MRM</w:t>
            </w:r>
          </w:p>
        </w:tc>
        <w:tc>
          <w:tcPr>
            <w:tcW w:type="dxa" w:w="2160"/>
          </w:tcPr>
          <w:p>
            <w:r>
              <w:t>Annual assessment</w:t>
            </w:r>
          </w:p>
        </w:tc>
      </w:tr>
      <w:tr>
        <w:trPr>
          <w:cantSplit/>
        </w:trPr>
        <w:tc>
          <w:tcPr>
            <w:tcW w:type="dxa" w:w="2160"/>
          </w:tcPr>
          <w:p>
            <w:r>
              <w:t>Ad hoc</w:t>
            </w:r>
          </w:p>
        </w:tc>
        <w:tc>
          <w:tcPr>
            <w:tcW w:type="dxa" w:w="2160"/>
          </w:tcPr>
          <w:p>
            <w:r>
              <w:t>Event-driven reviews due to portfolio or policy changes</w:t>
            </w:r>
          </w:p>
        </w:tc>
        <w:tc>
          <w:tcPr>
            <w:tcW w:type="dxa" w:w="2160"/>
          </w:tcPr>
          <w:p>
            <w:r>
              <w:t>Model Owner</w:t>
            </w:r>
          </w:p>
        </w:tc>
        <w:tc>
          <w:tcPr>
            <w:tcW w:type="dxa" w:w="2160"/>
          </w:tcPr>
          <w:p>
            <w:r>
              <w:t>Event memo</w:t>
            </w:r>
          </w:p>
        </w:tc>
      </w:tr>
    </w:tbl>
    <w:p/>
    <w:p>
      <w:pPr>
        <w:pStyle w:val="Heading3"/>
      </w:pPr>
      <w:r>
        <w:t>Exhibit: Example KPI Snapshot</w:t>
      </w:r>
    </w:p>
    <w:p>
      <w:r>
        <w:drawing>
          <wp:inline xmlns:a="http://schemas.openxmlformats.org/drawingml/2006/main" xmlns:pic="http://schemas.openxmlformats.org/drawingml/2006/picture">
            <wp:extent cx="5669280" cy="2519680"/>
            <wp:docPr id="2" name="Picture 2"/>
            <wp:cNvGraphicFramePr>
              <a:graphicFrameLocks noChangeAspect="1"/>
            </wp:cNvGraphicFramePr>
            <a:graphic>
              <a:graphicData uri="http://schemas.openxmlformats.org/drawingml/2006/picture">
                <pic:pic>
                  <pic:nvPicPr>
                    <pic:cNvPr id="0" name="ns_kpi_bars.png"/>
                    <pic:cNvPicPr/>
                  </pic:nvPicPr>
                  <pic:blipFill>
                    <a:blip r:embed="rId12"/>
                    <a:stretch>
                      <a:fillRect/>
                    </a:stretch>
                  </pic:blipFill>
                  <pic:spPr>
                    <a:xfrm>
                      <a:off x="0" y="0"/>
                      <a:ext cx="5669280" cy="2519680"/>
                    </a:xfrm>
                    <a:prstGeom prst="rect"/>
                  </pic:spPr>
                </pic:pic>
              </a:graphicData>
            </a:graphic>
          </wp:inline>
        </w:drawing>
      </w:r>
    </w:p>
    <w:p>
      <w:r>
        <w:br w:type="page"/>
      </w:r>
    </w:p>
    <w:p>
      <w:pPr>
        <w:pStyle w:val="Heading1"/>
      </w:pPr>
      <w:r>
        <w:t>4. Data Quality &amp; Data Drift Monitoring</w:t>
      </w:r>
    </w:p>
    <w:p>
      <w:pPr>
        <w:pStyle w:val="ListBullet"/>
      </w:pPr>
      <w:r>
        <w:t>Schema/required fields completeness by segment.</w:t>
      </w:r>
    </w:p>
    <w:p>
      <w:pPr>
        <w:pStyle w:val="ListBullet"/>
      </w:pPr>
      <w:r>
        <w:t>Uniqueness/referential integrity for keys and joins.</w:t>
      </w:r>
    </w:p>
    <w:p>
      <w:pPr>
        <w:pStyle w:val="ListBullet"/>
      </w:pPr>
      <w:r>
        <w:t>Range and validity checks (e.g., DPD bounds, non-negative balances).</w:t>
      </w:r>
    </w:p>
    <w:p>
      <w:pPr>
        <w:pStyle w:val="ListBullet"/>
      </w:pPr>
      <w:r>
        <w:t>Aggregate balance movement checks vs transactions and charge-offs/recoveries.</w:t>
      </w:r>
    </w:p>
    <w:p>
      <w:pPr>
        <w:pStyle w:val="Heading3"/>
      </w:pPr>
      <w:r>
        <w:t>Exhibit: PSI Trend (Illustrative)</w:t>
      </w:r>
    </w:p>
    <w:p>
      <w:r>
        <w:drawing>
          <wp:inline xmlns:a="http://schemas.openxmlformats.org/drawingml/2006/main" xmlns:pic="http://schemas.openxmlformats.org/drawingml/2006/picture">
            <wp:extent cx="5669280" cy="2519680"/>
            <wp:docPr id="3" name="Picture 3"/>
            <wp:cNvGraphicFramePr>
              <a:graphicFrameLocks noChangeAspect="1"/>
            </wp:cNvGraphicFramePr>
            <a:graphic>
              <a:graphicData uri="http://schemas.openxmlformats.org/drawingml/2006/picture">
                <pic:pic>
                  <pic:nvPicPr>
                    <pic:cNvPr id="0" name="ns_drift_chart.png"/>
                    <pic:cNvPicPr/>
                  </pic:nvPicPr>
                  <pic:blipFill>
                    <a:blip r:embed="rId13"/>
                    <a:stretch>
                      <a:fillRect/>
                    </a:stretch>
                  </pic:blipFill>
                  <pic:spPr>
                    <a:xfrm>
                      <a:off x="0" y="0"/>
                      <a:ext cx="5669280" cy="2519680"/>
                    </a:xfrm>
                    <a:prstGeom prst="rect"/>
                  </pic:spPr>
                </pic:pic>
              </a:graphicData>
            </a:graphic>
          </wp:inline>
        </w:drawing>
      </w:r>
    </w:p>
    <w:p>
      <w:pPr>
        <w:pStyle w:val="Heading2"/>
      </w:pPr>
      <w:r>
        <w:t>4.1 Example Thresholds</w:t>
      </w:r>
    </w:p>
    <w:tbl>
      <w:tblPr>
        <w:tblW w:type="auto" w:w="0"/>
        <w:tblLayout w:type="autofit"/>
        <w:tblLook w:firstColumn="1" w:firstRow="1" w:lastColumn="0" w:lastRow="0" w:noHBand="0" w:noVBand="1" w:val="04A0"/>
      </w:tblPr>
      <w:tblGrid>
        <w:gridCol w:w="2160"/>
        <w:gridCol w:w="2160"/>
        <w:gridCol w:w="2160"/>
        <w:gridCol w:w="2160"/>
      </w:tblGrid>
      <w:tr>
        <w:trPr>
          <w:tblHeader w:val="true"/>
          <w:cantSplit/>
        </w:trPr>
        <w:tc>
          <w:tcPr>
            <w:tcW w:type="dxa" w:w="2160"/>
          </w:tcPr>
          <w:p>
            <w:r>
              <w:t>Area</w:t>
            </w:r>
          </w:p>
        </w:tc>
        <w:tc>
          <w:tcPr>
            <w:tcW w:type="dxa" w:w="2160"/>
          </w:tcPr>
          <w:p>
            <w:r>
              <w:t>Green</w:t>
            </w:r>
          </w:p>
        </w:tc>
        <w:tc>
          <w:tcPr>
            <w:tcW w:type="dxa" w:w="2160"/>
          </w:tcPr>
          <w:p>
            <w:r>
              <w:t>Amber (Monitor)</w:t>
            </w:r>
          </w:p>
        </w:tc>
        <w:tc>
          <w:tcPr>
            <w:tcW w:type="dxa" w:w="2160"/>
          </w:tcPr>
          <w:p>
            <w:r>
              <w:t>Red (Investigate)</w:t>
            </w:r>
          </w:p>
        </w:tc>
      </w:tr>
      <w:tr>
        <w:trPr>
          <w:cantSplit/>
        </w:trPr>
        <w:tc>
          <w:tcPr>
            <w:tcW w:type="dxa" w:w="2160"/>
          </w:tcPr>
          <w:p>
            <w:r>
              <w:t>PSI (driver)</w:t>
            </w:r>
          </w:p>
        </w:tc>
        <w:tc>
          <w:tcPr>
            <w:tcW w:type="dxa" w:w="2160"/>
          </w:tcPr>
          <w:p>
            <w:r>
              <w:t>&lt; 0.10</w:t>
            </w:r>
          </w:p>
        </w:tc>
        <w:tc>
          <w:tcPr>
            <w:tcW w:type="dxa" w:w="2160"/>
          </w:tcPr>
          <w:p>
            <w:r>
              <w:t>0.10–0.25</w:t>
            </w:r>
          </w:p>
        </w:tc>
        <w:tc>
          <w:tcPr>
            <w:tcW w:type="dxa" w:w="2160"/>
          </w:tcPr>
          <w:p>
            <w:r>
              <w:t>&gt; 0.25</w:t>
            </w:r>
          </w:p>
        </w:tc>
      </w:tr>
      <w:tr>
        <w:trPr>
          <w:cantSplit/>
        </w:trPr>
        <w:tc>
          <w:tcPr>
            <w:tcW w:type="dxa" w:w="2160"/>
          </w:tcPr>
          <w:p>
            <w:r>
              <w:t>Segment mix shift</w:t>
            </w:r>
          </w:p>
        </w:tc>
        <w:tc>
          <w:tcPr>
            <w:tcW w:type="dxa" w:w="2160"/>
          </w:tcPr>
          <w:p>
            <w:r>
              <w:t>&lt; 3% abs</w:t>
            </w:r>
          </w:p>
        </w:tc>
        <w:tc>
          <w:tcPr>
            <w:tcW w:type="dxa" w:w="2160"/>
          </w:tcPr>
          <w:p>
            <w:r>
              <w:t>3–8% abs</w:t>
            </w:r>
          </w:p>
        </w:tc>
        <w:tc>
          <w:tcPr>
            <w:tcW w:type="dxa" w:w="2160"/>
          </w:tcPr>
          <w:p>
            <w:r>
              <w:t>&gt; 8% abs</w:t>
            </w:r>
          </w:p>
        </w:tc>
      </w:tr>
      <w:tr>
        <w:trPr>
          <w:cantSplit/>
        </w:trPr>
        <w:tc>
          <w:tcPr>
            <w:tcW w:type="dxa" w:w="2160"/>
          </w:tcPr>
          <w:p>
            <w:r>
              <w:t>Missingness (key field)</w:t>
            </w:r>
          </w:p>
        </w:tc>
        <w:tc>
          <w:tcPr>
            <w:tcW w:type="dxa" w:w="2160"/>
          </w:tcPr>
          <w:p>
            <w:r>
              <w:t>&lt; 0.5%</w:t>
            </w:r>
          </w:p>
        </w:tc>
        <w:tc>
          <w:tcPr>
            <w:tcW w:type="dxa" w:w="2160"/>
          </w:tcPr>
          <w:p>
            <w:r>
              <w:t>0.5–2.0%</w:t>
            </w:r>
          </w:p>
        </w:tc>
        <w:tc>
          <w:tcPr>
            <w:tcW w:type="dxa" w:w="2160"/>
          </w:tcPr>
          <w:p>
            <w:r>
              <w:t>&gt; 2.0%</w:t>
            </w:r>
          </w:p>
        </w:tc>
      </w:tr>
      <w:tr>
        <w:trPr>
          <w:cantSplit/>
        </w:trPr>
        <w:tc>
          <w:tcPr>
            <w:tcW w:type="dxa" w:w="2160"/>
          </w:tcPr>
          <w:p>
            <w:r>
              <w:t>Balance reconciliation</w:t>
            </w:r>
          </w:p>
        </w:tc>
        <w:tc>
          <w:tcPr>
            <w:tcW w:type="dxa" w:w="2160"/>
          </w:tcPr>
          <w:p>
            <w:r>
              <w:t>&lt; 0.5% var</w:t>
            </w:r>
          </w:p>
        </w:tc>
        <w:tc>
          <w:tcPr>
            <w:tcW w:type="dxa" w:w="2160"/>
          </w:tcPr>
          <w:p>
            <w:r>
              <w:t>0.5–1.0%</w:t>
            </w:r>
          </w:p>
        </w:tc>
        <w:tc>
          <w:tcPr>
            <w:tcW w:type="dxa" w:w="2160"/>
          </w:tcPr>
          <w:p>
            <w:r>
              <w:t>&gt; 1.0%</w:t>
            </w:r>
          </w:p>
        </w:tc>
      </w:tr>
    </w:tbl>
    <w:p>
      <w:r>
        <w:br w:type="page"/>
      </w:r>
    </w:p>
    <w:p>
      <w:pPr>
        <w:pStyle w:val="Heading1"/>
      </w:pPr>
      <w:r>
        <w:t>5. Model Performance Monitoring (PD/LGD/EAD/Lifetime ECL)</w:t>
      </w:r>
    </w:p>
    <w:p>
      <w:pPr>
        <w:pStyle w:val="ListBullet"/>
      </w:pPr>
      <w:r>
        <w:t>Segment ECL variance vs prior period with attribution (balance, PD, LGD, scenario).</w:t>
      </w:r>
    </w:p>
    <w:p>
      <w:pPr>
        <w:pStyle w:val="ListBullet"/>
      </w:pPr>
      <w:r>
        <w:t>Distribution stability of PD/LGD/EAD by segment (mean/median, tail checks).</w:t>
      </w:r>
    </w:p>
    <w:p>
      <w:pPr>
        <w:pStyle w:val="ListBullet"/>
      </w:pPr>
      <w:r>
        <w:t>Constraint checks: PD/LGD in [0,1], EAD non-negative, discount factors monotonic.</w:t>
      </w:r>
    </w:p>
    <w:p>
      <w:pPr>
        <w:pStyle w:val="ListBullet"/>
      </w:pPr>
      <w:r>
        <w:t>Outcome proxies: short-horizon realized losses, roll rates, and vintage diagnostics where applicable.</w:t>
      </w:r>
    </w:p>
    <w:p>
      <w:pPr>
        <w:pStyle w:val="Heading2"/>
      </w:pPr>
      <w:r>
        <w:t>5.1 Trigger Events for Enhanced Monitoring</w:t>
      </w:r>
    </w:p>
    <w:p>
      <w:pPr>
        <w:pStyle w:val="ListBullet"/>
      </w:pPr>
      <w:r>
        <w:t>Acquisitions/sales or core system conversions.</w:t>
      </w:r>
    </w:p>
    <w:p>
      <w:pPr>
        <w:pStyle w:val="ListBullet"/>
      </w:pPr>
      <w:r>
        <w:t>Material underwriting/collections changes.</w:t>
      </w:r>
    </w:p>
    <w:p>
      <w:pPr>
        <w:pStyle w:val="ListBullet"/>
      </w:pPr>
      <w:r>
        <w:t>Macroeconomic regime change or forecast volatility.</w:t>
      </w:r>
    </w:p>
    <w:p>
      <w:pPr>
        <w:pStyle w:val="ListBullet"/>
      </w:pPr>
      <w:r>
        <w:t>Policy changes impacting charge-off/recovery recognition.</w:t>
      </w:r>
    </w:p>
    <w:p>
      <w:r>
        <w:br w:type="page"/>
      </w:r>
    </w:p>
    <w:p>
      <w:pPr>
        <w:pStyle w:val="Heading1"/>
      </w:pPr>
      <w:r>
        <w:t>6. Scenario Governance (Macro Inputs and Weights)</w:t>
      </w:r>
    </w:p>
    <w:p>
      <w:pPr>
        <w:pStyle w:val="BodyText"/>
      </w:pPr>
      <w:r>
        <w:t>Scenario selection and weighting are client decisions. The vendor supports ingestion, mapping, versioning, and traceability of scenario artifacts.</w:t>
      </w:r>
    </w:p>
    <w:tbl>
      <w:tblPr>
        <w:tblW w:type="auto" w:w="0"/>
        <w:tblLayout w:type="autofit"/>
        <w:tblLook w:firstColumn="1" w:firstRow="1" w:lastColumn="0" w:lastRow="0" w:noHBand="0" w:noVBand="1" w:val="04A0"/>
      </w:tblPr>
      <w:tblGrid>
        <w:gridCol w:w="2880"/>
        <w:gridCol w:w="2880"/>
        <w:gridCol w:w="2880"/>
      </w:tblGrid>
      <w:tr>
        <w:trPr>
          <w:tblHeader w:val="true"/>
          <w:cantSplit/>
        </w:trPr>
        <w:tc>
          <w:tcPr>
            <w:tcW w:type="dxa" w:w="2880"/>
          </w:tcPr>
          <w:p>
            <w:r>
              <w:t>Artifact</w:t>
            </w:r>
          </w:p>
        </w:tc>
        <w:tc>
          <w:tcPr>
            <w:tcW w:type="dxa" w:w="2880"/>
          </w:tcPr>
          <w:p>
            <w:r>
              <w:t>Description</w:t>
            </w:r>
          </w:p>
        </w:tc>
        <w:tc>
          <w:tcPr>
            <w:tcW w:type="dxa" w:w="2880"/>
          </w:tcPr>
          <w:p>
            <w:r>
              <w:t>Evidence Example</w:t>
            </w:r>
          </w:p>
        </w:tc>
      </w:tr>
      <w:tr>
        <w:trPr>
          <w:cantSplit/>
        </w:trPr>
        <w:tc>
          <w:tcPr>
            <w:tcW w:type="dxa" w:w="2880"/>
          </w:tcPr>
          <w:p>
            <w:r>
              <w:t>Scenario package</w:t>
            </w:r>
          </w:p>
        </w:tc>
        <w:tc>
          <w:tcPr>
            <w:tcW w:type="dxa" w:w="2880"/>
          </w:tcPr>
          <w:p>
            <w:r>
              <w:t>Macro time series (baseline/adverse/etc.)</w:t>
            </w:r>
          </w:p>
        </w:tc>
        <w:tc>
          <w:tcPr>
            <w:tcW w:type="dxa" w:w="2880"/>
          </w:tcPr>
          <w:p>
            <w:r>
              <w:t>Source citation + checksums</w:t>
            </w:r>
          </w:p>
        </w:tc>
      </w:tr>
      <w:tr>
        <w:trPr>
          <w:cantSplit/>
        </w:trPr>
        <w:tc>
          <w:tcPr>
            <w:tcW w:type="dxa" w:w="2880"/>
          </w:tcPr>
          <w:p>
            <w:r>
              <w:t>Scenario mapping</w:t>
            </w:r>
          </w:p>
        </w:tc>
        <w:tc>
          <w:tcPr>
            <w:tcW w:type="dxa" w:w="2880"/>
          </w:tcPr>
          <w:p>
            <w:r>
              <w:t>Series mapping to model drivers</w:t>
            </w:r>
          </w:p>
        </w:tc>
        <w:tc>
          <w:tcPr>
            <w:tcW w:type="dxa" w:w="2880"/>
          </w:tcPr>
          <w:p>
            <w:r>
              <w:t>Mapping workbook version</w:t>
            </w:r>
          </w:p>
        </w:tc>
      </w:tr>
      <w:tr>
        <w:trPr>
          <w:cantSplit/>
        </w:trPr>
        <w:tc>
          <w:tcPr>
            <w:tcW w:type="dxa" w:w="2880"/>
          </w:tcPr>
          <w:p>
            <w:r>
              <w:t>Weights memo</w:t>
            </w:r>
          </w:p>
        </w:tc>
        <w:tc>
          <w:tcPr>
            <w:tcW w:type="dxa" w:w="2880"/>
          </w:tcPr>
          <w:p>
            <w:r>
              <w:t>Approved weights and rationale</w:t>
            </w:r>
          </w:p>
        </w:tc>
        <w:tc>
          <w:tcPr>
            <w:tcW w:type="dxa" w:w="2880"/>
          </w:tcPr>
          <w:p>
            <w:r>
              <w:t>Finance/MRM memo</w:t>
            </w:r>
          </w:p>
        </w:tc>
      </w:tr>
      <w:tr>
        <w:trPr>
          <w:cantSplit/>
        </w:trPr>
        <w:tc>
          <w:tcPr>
            <w:tcW w:type="dxa" w:w="2880"/>
          </w:tcPr>
          <w:p>
            <w:r>
              <w:t>Reversion settings</w:t>
            </w:r>
          </w:p>
        </w:tc>
        <w:tc>
          <w:tcPr>
            <w:tcW w:type="dxa" w:w="2880"/>
          </w:tcPr>
          <w:p>
            <w:r>
              <w:t>Horizon and method</w:t>
            </w:r>
          </w:p>
        </w:tc>
        <w:tc>
          <w:tcPr>
            <w:tcW w:type="dxa" w:w="2880"/>
          </w:tcPr>
          <w:p>
            <w:r>
              <w:t>RUN_CONTROL snapshot</w:t>
            </w:r>
          </w:p>
        </w:tc>
      </w:tr>
    </w:tbl>
    <w:p>
      <w:r>
        <w:br w:type="page"/>
      </w:r>
    </w:p>
    <w:p>
      <w:pPr>
        <w:pStyle w:val="Heading1"/>
      </w:pPr>
      <w:r>
        <w:t>7. Overrides, Qualitative Adjustments, and Management Overlays</w:t>
      </w:r>
    </w:p>
    <w:tbl>
      <w:tblPr>
        <w:tblW w:type="auto" w:w="0"/>
        <w:tblLayout w:type="autofit"/>
        <w:tblLook w:firstColumn="1" w:firstRow="1" w:lastColumn="0" w:lastRow="0" w:noHBand="0" w:noVBand="1" w:val="04A0"/>
      </w:tblPr>
      <w:tblGrid>
        <w:gridCol w:w="2880"/>
        <w:gridCol w:w="2880"/>
        <w:gridCol w:w="2880"/>
      </w:tblGrid>
      <w:tr>
        <w:trPr>
          <w:tblHeader w:val="true"/>
          <w:cantSplit/>
        </w:trPr>
        <w:tc>
          <w:tcPr>
            <w:tcW w:type="dxa" w:w="2880"/>
          </w:tcPr>
          <w:p>
            <w:r>
              <w:t>Category</w:t>
            </w:r>
          </w:p>
        </w:tc>
        <w:tc>
          <w:tcPr>
            <w:tcW w:type="dxa" w:w="2880"/>
          </w:tcPr>
          <w:p>
            <w:r>
              <w:t>Example</w:t>
            </w:r>
          </w:p>
        </w:tc>
        <w:tc>
          <w:tcPr>
            <w:tcW w:type="dxa" w:w="2880"/>
          </w:tcPr>
          <w:p>
            <w:r>
              <w:t>Governance Control</w:t>
            </w:r>
          </w:p>
        </w:tc>
      </w:tr>
      <w:tr>
        <w:trPr>
          <w:cantSplit/>
        </w:trPr>
        <w:tc>
          <w:tcPr>
            <w:tcW w:type="dxa" w:w="2880"/>
          </w:tcPr>
          <w:p>
            <w:r>
              <w:t>Data override</w:t>
            </w:r>
          </w:p>
        </w:tc>
        <w:tc>
          <w:tcPr>
            <w:tcW w:type="dxa" w:w="2880"/>
          </w:tcPr>
          <w:p>
            <w:r>
              <w:t>Correct segment override for known misclassification</w:t>
            </w:r>
          </w:p>
        </w:tc>
        <w:tc>
          <w:tcPr>
            <w:tcW w:type="dxa" w:w="2880"/>
          </w:tcPr>
          <w:p>
            <w:r>
              <w:t>Exception memo + approval + effective dates</w:t>
            </w:r>
          </w:p>
        </w:tc>
      </w:tr>
      <w:tr>
        <w:trPr>
          <w:cantSplit/>
        </w:trPr>
        <w:tc>
          <w:tcPr>
            <w:tcW w:type="dxa" w:w="2880"/>
          </w:tcPr>
          <w:p>
            <w:r>
              <w:t>Parameter override</w:t>
            </w:r>
          </w:p>
        </w:tc>
        <w:tc>
          <w:tcPr>
            <w:tcW w:type="dxa" w:w="2880"/>
          </w:tcPr>
          <w:p>
            <w:r>
              <w:t>Temporary LGD floor for stressed segment</w:t>
            </w:r>
          </w:p>
        </w:tc>
        <w:tc>
          <w:tcPr>
            <w:tcW w:type="dxa" w:w="2880"/>
          </w:tcPr>
          <w:p>
            <w:r>
              <w:t>Change ticket + impact analysis + sunset date</w:t>
            </w:r>
          </w:p>
        </w:tc>
      </w:tr>
      <w:tr>
        <w:trPr>
          <w:cantSplit/>
        </w:trPr>
        <w:tc>
          <w:tcPr>
            <w:tcW w:type="dxa" w:w="2880"/>
          </w:tcPr>
          <w:p>
            <w:r>
              <w:t>Segmentation override</w:t>
            </w:r>
          </w:p>
        </w:tc>
        <w:tc>
          <w:tcPr>
            <w:tcW w:type="dxa" w:w="2880"/>
          </w:tcPr>
          <w:p>
            <w:r>
              <w:t>Move accounts to workout segment</w:t>
            </w:r>
          </w:p>
        </w:tc>
        <w:tc>
          <w:tcPr>
            <w:tcW w:type="dxa" w:w="2880"/>
          </w:tcPr>
          <w:p>
            <w:r>
              <w:t>Policy alignment + exception log</w:t>
            </w:r>
          </w:p>
        </w:tc>
      </w:tr>
      <w:tr>
        <w:trPr>
          <w:cantSplit/>
        </w:trPr>
        <w:tc>
          <w:tcPr>
            <w:tcW w:type="dxa" w:w="2880"/>
          </w:tcPr>
          <w:p>
            <w:r>
              <w:t>Post-model overlay</w:t>
            </w:r>
          </w:p>
        </w:tc>
        <w:tc>
          <w:tcPr>
            <w:tcW w:type="dxa" w:w="2880"/>
          </w:tcPr>
          <w:p>
            <w:r>
              <w:t>Qualitative adjustment for emerging risk</w:t>
            </w:r>
          </w:p>
        </w:tc>
        <w:tc>
          <w:tcPr>
            <w:tcW w:type="dxa" w:w="2880"/>
          </w:tcPr>
          <w:p>
            <w:r>
              <w:t>Overlay memo + approvals + persistence monitoring</w:t>
            </w:r>
          </w:p>
        </w:tc>
      </w:tr>
    </w:tbl>
    <w:p>
      <w:r>
        <w:br w:type="page"/>
      </w:r>
    </w:p>
    <w:p>
      <w:pPr>
        <w:pStyle w:val="Heading1"/>
      </w:pPr>
      <w:r>
        <w:t>8. Thresholds, Escalation, and Issue Management</w:t>
      </w:r>
    </w:p>
    <w:tbl>
      <w:tblPr>
        <w:tblW w:type="auto" w:w="0"/>
        <w:tblLayout w:type="autofit"/>
        <w:tblLook w:firstColumn="1" w:firstRow="1" w:lastColumn="0" w:lastRow="0" w:noHBand="0" w:noVBand="1" w:val="04A0"/>
      </w:tblPr>
      <w:tblGrid>
        <w:gridCol w:w="2160"/>
        <w:gridCol w:w="2160"/>
        <w:gridCol w:w="2160"/>
        <w:gridCol w:w="2160"/>
      </w:tblGrid>
      <w:tr>
        <w:trPr>
          <w:tblHeader w:val="true"/>
          <w:cantSplit/>
        </w:trPr>
        <w:tc>
          <w:tcPr>
            <w:tcW w:type="dxa" w:w="2160"/>
          </w:tcPr>
          <w:p>
            <w:r>
              <w:t>Tier</w:t>
            </w:r>
          </w:p>
        </w:tc>
        <w:tc>
          <w:tcPr>
            <w:tcW w:type="dxa" w:w="2160"/>
          </w:tcPr>
          <w:p>
            <w:r>
              <w:t>Trigger</w:t>
            </w:r>
          </w:p>
        </w:tc>
        <w:tc>
          <w:tcPr>
            <w:tcW w:type="dxa" w:w="2160"/>
          </w:tcPr>
          <w:p>
            <w:r>
              <w:t>Required Action</w:t>
            </w:r>
          </w:p>
        </w:tc>
        <w:tc>
          <w:tcPr>
            <w:tcW w:type="dxa" w:w="2160"/>
          </w:tcPr>
          <w:p>
            <w:r>
              <w:t>Decision Owner (Typical)</w:t>
            </w:r>
          </w:p>
        </w:tc>
      </w:tr>
      <w:tr>
        <w:trPr>
          <w:cantSplit/>
        </w:trPr>
        <w:tc>
          <w:tcPr>
            <w:tcW w:type="dxa" w:w="2160"/>
          </w:tcPr>
          <w:p>
            <w:r>
              <w:t>Tier 0 (Info)</w:t>
            </w:r>
          </w:p>
        </w:tc>
        <w:tc>
          <w:tcPr>
            <w:tcW w:type="dxa" w:w="2160"/>
          </w:tcPr>
          <w:p>
            <w:r>
              <w:t>Green KPI movement</w:t>
            </w:r>
          </w:p>
        </w:tc>
        <w:tc>
          <w:tcPr>
            <w:tcW w:type="dxa" w:w="2160"/>
          </w:tcPr>
          <w:p>
            <w:r>
              <w:t>Record in pack</w:t>
            </w:r>
          </w:p>
        </w:tc>
        <w:tc>
          <w:tcPr>
            <w:tcW w:type="dxa" w:w="2160"/>
          </w:tcPr>
          <w:p>
            <w:r>
              <w:t>Run Operator</w:t>
            </w:r>
          </w:p>
        </w:tc>
      </w:tr>
      <w:tr>
        <w:trPr>
          <w:cantSplit/>
        </w:trPr>
        <w:tc>
          <w:tcPr>
            <w:tcW w:type="dxa" w:w="2160"/>
          </w:tcPr>
          <w:p>
            <w:r>
              <w:t>Tier 1 (Monitor)</w:t>
            </w:r>
          </w:p>
        </w:tc>
        <w:tc>
          <w:tcPr>
            <w:tcW w:type="dxa" w:w="2160"/>
          </w:tcPr>
          <w:p>
            <w:r>
              <w:t>Amber breach</w:t>
            </w:r>
          </w:p>
        </w:tc>
        <w:tc>
          <w:tcPr>
            <w:tcW w:type="dxa" w:w="2160"/>
          </w:tcPr>
          <w:p>
            <w:r>
              <w:t>Commentary; monitor next period</w:t>
            </w:r>
          </w:p>
        </w:tc>
        <w:tc>
          <w:tcPr>
            <w:tcW w:type="dxa" w:w="2160"/>
          </w:tcPr>
          <w:p>
            <w:r>
              <w:t>Model Owner</w:t>
            </w:r>
          </w:p>
        </w:tc>
      </w:tr>
      <w:tr>
        <w:trPr>
          <w:cantSplit/>
        </w:trPr>
        <w:tc>
          <w:tcPr>
            <w:tcW w:type="dxa" w:w="2160"/>
          </w:tcPr>
          <w:p>
            <w:r>
              <w:t>Tier 2 (Investigate)</w:t>
            </w:r>
          </w:p>
        </w:tc>
        <w:tc>
          <w:tcPr>
            <w:tcW w:type="dxa" w:w="2160"/>
          </w:tcPr>
          <w:p>
            <w:r>
              <w:t>Red breach or repeated amber</w:t>
            </w:r>
          </w:p>
        </w:tc>
        <w:tc>
          <w:tcPr>
            <w:tcW w:type="dxa" w:w="2160"/>
          </w:tcPr>
          <w:p>
            <w:r>
              <w:t>RCA; remediation plan</w:t>
            </w:r>
          </w:p>
        </w:tc>
        <w:tc>
          <w:tcPr>
            <w:tcW w:type="dxa" w:w="2160"/>
          </w:tcPr>
          <w:p>
            <w:r>
              <w:t>Model Owner + Data Steward</w:t>
            </w:r>
          </w:p>
        </w:tc>
      </w:tr>
      <w:tr>
        <w:trPr>
          <w:cantSplit/>
        </w:trPr>
        <w:tc>
          <w:tcPr>
            <w:tcW w:type="dxa" w:w="2160"/>
          </w:tcPr>
          <w:p>
            <w:r>
              <w:t>Tier 3 (Governance)</w:t>
            </w:r>
          </w:p>
        </w:tc>
        <w:tc>
          <w:tcPr>
            <w:tcW w:type="dxa" w:w="2160"/>
          </w:tcPr>
          <w:p>
            <w:r>
              <w:t>Material impact or policy breach</w:t>
            </w:r>
          </w:p>
        </w:tc>
        <w:tc>
          <w:tcPr>
            <w:tcW w:type="dxa" w:w="2160"/>
          </w:tcPr>
          <w:p>
            <w:r>
              <w:t>Committee review; consider rerun/overlay</w:t>
            </w:r>
          </w:p>
        </w:tc>
        <w:tc>
          <w:tcPr>
            <w:tcW w:type="dxa" w:w="2160"/>
          </w:tcPr>
          <w:p>
            <w:r>
              <w:t>MRM / Finance Committee</w:t>
            </w:r>
          </w:p>
        </w:tc>
      </w:tr>
    </w:tbl>
    <w:p>
      <w:pPr>
        <w:pStyle w:val="Heading2"/>
      </w:pPr>
      <w:r>
        <w:t>8.1 Issue Lifecycle (Vendor)</w:t>
      </w:r>
    </w:p>
    <w:p>
      <w:pPr>
        <w:pStyle w:val="ListNumber"/>
      </w:pPr>
      <w:r>
        <w:t>Detect</w:t>
      </w:r>
    </w:p>
    <w:p>
      <w:pPr>
        <w:pStyle w:val="ListNumber"/>
      </w:pPr>
      <w:r>
        <w:t>Triage</w:t>
      </w:r>
    </w:p>
    <w:p>
      <w:pPr>
        <w:pStyle w:val="ListNumber"/>
      </w:pPr>
      <w:r>
        <w:t>Remediate</w:t>
      </w:r>
    </w:p>
    <w:p>
      <w:pPr>
        <w:pStyle w:val="ListNumber"/>
      </w:pPr>
      <w:r>
        <w:t>Validate</w:t>
      </w:r>
    </w:p>
    <w:p>
      <w:pPr>
        <w:pStyle w:val="ListNumber"/>
      </w:pPr>
      <w:r>
        <w:t>Close</w:t>
      </w:r>
    </w:p>
    <w:p>
      <w:r>
        <w:br w:type="page"/>
      </w:r>
    </w:p>
    <w:p>
      <w:pPr>
        <w:pStyle w:val="Heading1"/>
      </w:pPr>
      <w:r>
        <w:t>9. Model Change Management and Release Governance</w:t>
      </w:r>
    </w:p>
    <w:tbl>
      <w:tblPr>
        <w:tblW w:type="auto" w:w="0"/>
        <w:tblLayout w:type="autofit"/>
        <w:tblLook w:firstColumn="1" w:firstRow="1" w:lastColumn="0" w:lastRow="0" w:noHBand="0" w:noVBand="1" w:val="04A0"/>
      </w:tblPr>
      <w:tblGrid>
        <w:gridCol w:w="2880"/>
        <w:gridCol w:w="2880"/>
        <w:gridCol w:w="2880"/>
      </w:tblGrid>
      <w:tr>
        <w:trPr>
          <w:tblHeader w:val="true"/>
          <w:cantSplit/>
        </w:trPr>
        <w:tc>
          <w:tcPr>
            <w:tcW w:type="dxa" w:w="2880"/>
          </w:tcPr>
          <w:p>
            <w:r>
              <w:t>Change Type</w:t>
            </w:r>
          </w:p>
        </w:tc>
        <w:tc>
          <w:tcPr>
            <w:tcW w:type="dxa" w:w="2880"/>
          </w:tcPr>
          <w:p>
            <w:r>
              <w:t>Examples</w:t>
            </w:r>
          </w:p>
        </w:tc>
        <w:tc>
          <w:tcPr>
            <w:tcW w:type="dxa" w:w="2880"/>
          </w:tcPr>
          <w:p>
            <w:r>
              <w:t>Minimum Controls</w:t>
            </w:r>
          </w:p>
        </w:tc>
      </w:tr>
      <w:tr>
        <w:trPr>
          <w:cantSplit/>
        </w:trPr>
        <w:tc>
          <w:tcPr>
            <w:tcW w:type="dxa" w:w="2880"/>
          </w:tcPr>
          <w:p>
            <w:r>
              <w:t>Vendor release</w:t>
            </w:r>
          </w:p>
        </w:tc>
        <w:tc>
          <w:tcPr>
            <w:tcW w:type="dxa" w:w="2880"/>
          </w:tcPr>
          <w:p>
            <w:r>
              <w:t>Bug fixes, algorithm improvements, new exports</w:t>
            </w:r>
          </w:p>
        </w:tc>
        <w:tc>
          <w:tcPr>
            <w:tcW w:type="dxa" w:w="2880"/>
          </w:tcPr>
          <w:p>
            <w:r>
              <w:t>Release notes + UAT + baseline comparisons</w:t>
            </w:r>
          </w:p>
        </w:tc>
      </w:tr>
      <w:tr>
        <w:trPr>
          <w:cantSplit/>
        </w:trPr>
        <w:tc>
          <w:tcPr>
            <w:tcW w:type="dxa" w:w="2880"/>
          </w:tcPr>
          <w:p>
            <w:r>
              <w:t>Config change</w:t>
            </w:r>
          </w:p>
        </w:tc>
        <w:tc>
          <w:tcPr>
            <w:tcW w:type="dxa" w:w="2880"/>
          </w:tcPr>
          <w:p>
            <w:r>
              <w:t>Thresholds, scenario mapping, segmentation tables</w:t>
            </w:r>
          </w:p>
        </w:tc>
        <w:tc>
          <w:tcPr>
            <w:tcW w:type="dxa" w:w="2880"/>
          </w:tcPr>
          <w:p>
            <w:r>
              <w:t>Ticket + approvals + UAT</w:t>
            </w:r>
          </w:p>
        </w:tc>
      </w:tr>
      <w:tr>
        <w:trPr>
          <w:cantSplit/>
        </w:trPr>
        <w:tc>
          <w:tcPr>
            <w:tcW w:type="dxa" w:w="2880"/>
          </w:tcPr>
          <w:p>
            <w:r>
              <w:t>Mapping/ETL change</w:t>
            </w:r>
          </w:p>
        </w:tc>
        <w:tc>
          <w:tcPr>
            <w:tcW w:type="dxa" w:w="2880"/>
          </w:tcPr>
          <w:p>
            <w:r>
              <w:t>New field or sign convention change</w:t>
            </w:r>
          </w:p>
        </w:tc>
        <w:tc>
          <w:tcPr>
            <w:tcW w:type="dxa" w:w="2880"/>
          </w:tcPr>
          <w:p>
            <w:r>
              <w:t>Parallel load + reconciliation + QC sign-off</w:t>
            </w:r>
          </w:p>
        </w:tc>
      </w:tr>
      <w:tr>
        <w:trPr>
          <w:cantSplit/>
        </w:trPr>
        <w:tc>
          <w:tcPr>
            <w:tcW w:type="dxa" w:w="2880"/>
          </w:tcPr>
          <w:p>
            <w:r>
              <w:t>Emergency hotfix</w:t>
            </w:r>
          </w:p>
        </w:tc>
        <w:tc>
          <w:tcPr>
            <w:tcW w:type="dxa" w:w="2880"/>
          </w:tcPr>
          <w:p>
            <w:r>
              <w:t>Production defect requiring immediate patch</w:t>
            </w:r>
          </w:p>
        </w:tc>
        <w:tc>
          <w:tcPr>
            <w:tcW w:type="dxa" w:w="2880"/>
          </w:tcPr>
          <w:p>
            <w:r>
              <w:t>Break-glass approvals + post-incident review</w:t>
            </w:r>
          </w:p>
        </w:tc>
      </w:tr>
    </w:tbl>
    <w:p>
      <w:r>
        <w:br w:type="page"/>
      </w:r>
    </w:p>
    <w:p>
      <w:pPr>
        <w:pStyle w:val="Heading1"/>
      </w:pPr>
      <w:r>
        <w:t>10. Evidence, Auditability, and Retention</w:t>
      </w:r>
    </w:p>
    <w:p>
      <w:pPr>
        <w:pStyle w:val="ListBullet"/>
      </w:pPr>
      <w:r>
        <w:t>Inputs/outputs/config snapshots with checksums and run identifiers.</w:t>
      </w:r>
    </w:p>
    <w:p>
      <w:pPr>
        <w:pStyle w:val="ListBullet"/>
      </w:pPr>
      <w:r>
        <w:t>Monitoring packs and variance commentary.</w:t>
      </w:r>
    </w:p>
    <w:p>
      <w:pPr>
        <w:pStyle w:val="ListBullet"/>
      </w:pPr>
      <w:r>
        <w:t>Exception/override/overlay logs and approvals.</w:t>
      </w:r>
    </w:p>
    <w:p>
      <w:pPr>
        <w:pStyle w:val="ListBullet"/>
      </w:pPr>
      <w:r>
        <w:t>Change tickets, UAT results, and release notes.</w:t>
      </w:r>
    </w:p>
    <w:tbl>
      <w:tblPr>
        <w:tblW w:type="auto" w:w="0"/>
        <w:tblLayout w:type="autofit"/>
        <w:tblLook w:firstColumn="1" w:firstRow="1" w:lastColumn="0" w:lastRow="0" w:noHBand="0" w:noVBand="1" w:val="04A0"/>
      </w:tblPr>
      <w:tblGrid>
        <w:gridCol w:w="2880"/>
        <w:gridCol w:w="2880"/>
        <w:gridCol w:w="2880"/>
      </w:tblGrid>
      <w:tr>
        <w:trPr>
          <w:tblHeader w:val="true"/>
          <w:cantSplit/>
        </w:trPr>
        <w:tc>
          <w:tcPr>
            <w:tcW w:type="dxa" w:w="2880"/>
          </w:tcPr>
          <w:p>
            <w:r>
              <w:t>Artifact Type</w:t>
            </w:r>
          </w:p>
        </w:tc>
        <w:tc>
          <w:tcPr>
            <w:tcW w:type="dxa" w:w="2880"/>
          </w:tcPr>
          <w:p>
            <w:r>
              <w:t>Recommended Retention</w:t>
            </w:r>
          </w:p>
        </w:tc>
        <w:tc>
          <w:tcPr>
            <w:tcW w:type="dxa" w:w="2880"/>
          </w:tcPr>
          <w:p>
            <w:r>
              <w:t>Notes</w:t>
            </w:r>
          </w:p>
        </w:tc>
      </w:tr>
      <w:tr>
        <w:trPr>
          <w:cantSplit/>
        </w:trPr>
        <w:tc>
          <w:tcPr>
            <w:tcW w:type="dxa" w:w="2880"/>
          </w:tcPr>
          <w:p>
            <w:r>
              <w:t>Inputs/Outputs/Config snapshots</w:t>
            </w:r>
          </w:p>
        </w:tc>
        <w:tc>
          <w:tcPr>
            <w:tcW w:type="dxa" w:w="2880"/>
          </w:tcPr>
          <w:p>
            <w:r>
              <w:t>&gt;= 7 years</w:t>
            </w:r>
          </w:p>
        </w:tc>
        <w:tc>
          <w:tcPr>
            <w:tcW w:type="dxa" w:w="2880"/>
          </w:tcPr>
          <w:p>
            <w:r>
              <w:t>Align to financial reporting retention requirements</w:t>
            </w:r>
          </w:p>
        </w:tc>
      </w:tr>
      <w:tr>
        <w:trPr>
          <w:cantSplit/>
        </w:trPr>
        <w:tc>
          <w:tcPr>
            <w:tcW w:type="dxa" w:w="2880"/>
          </w:tcPr>
          <w:p>
            <w:r>
              <w:t>Monitoring packs</w:t>
            </w:r>
          </w:p>
        </w:tc>
        <w:tc>
          <w:tcPr>
            <w:tcW w:type="dxa" w:w="2880"/>
          </w:tcPr>
          <w:p>
            <w:r>
              <w:t>&gt;= 7 years</w:t>
            </w:r>
          </w:p>
        </w:tc>
        <w:tc>
          <w:tcPr>
            <w:tcW w:type="dxa" w:w="2880"/>
          </w:tcPr>
          <w:p>
            <w:r>
              <w:t>Supports trends and examinations</w:t>
            </w:r>
          </w:p>
        </w:tc>
      </w:tr>
      <w:tr>
        <w:trPr>
          <w:cantSplit/>
        </w:trPr>
        <w:tc>
          <w:tcPr>
            <w:tcW w:type="dxa" w:w="2880"/>
          </w:tcPr>
          <w:p>
            <w:r>
              <w:t>Issue tickets</w:t>
            </w:r>
          </w:p>
        </w:tc>
        <w:tc>
          <w:tcPr>
            <w:tcW w:type="dxa" w:w="2880"/>
          </w:tcPr>
          <w:p>
            <w:r>
              <w:t>&gt;= 3 years</w:t>
            </w:r>
          </w:p>
        </w:tc>
        <w:tc>
          <w:tcPr>
            <w:tcW w:type="dxa" w:w="2880"/>
          </w:tcPr>
          <w:p>
            <w:r>
              <w:t>Retain longer for recurring themes</w:t>
            </w:r>
          </w:p>
        </w:tc>
      </w:tr>
      <w:tr>
        <w:trPr>
          <w:cantSplit/>
        </w:trPr>
        <w:tc>
          <w:tcPr>
            <w:tcW w:type="dxa" w:w="2880"/>
          </w:tcPr>
          <w:p>
            <w:r>
              <w:t>Approvals/committee materials</w:t>
            </w:r>
          </w:p>
        </w:tc>
        <w:tc>
          <w:tcPr>
            <w:tcW w:type="dxa" w:w="2880"/>
          </w:tcPr>
          <w:p>
            <w:r>
              <w:t>Per client policy</w:t>
            </w:r>
          </w:p>
        </w:tc>
        <w:tc>
          <w:tcPr>
            <w:tcW w:type="dxa" w:w="2880"/>
          </w:tcPr>
          <w:p>
            <w:r>
              <w:t>Often aligned to corporate governance retention</w:t>
            </w:r>
          </w:p>
        </w:tc>
      </w:tr>
    </w:tbl>
    <w:p>
      <w:r>
        <w:br w:type="page"/>
      </w:r>
    </w:p>
    <w:p>
      <w:pPr>
        <w:pStyle w:val="Heading1"/>
      </w:pPr>
      <w:r>
        <w:t>11. Roles, RACI, and Operating Committees (Vendor Terminology)</w:t>
      </w:r>
    </w:p>
    <w:tbl>
      <w:tblPr>
        <w:tblW w:type="auto" w:w="0"/>
        <w:tblLayout w:type="autofit"/>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1440"/>
          </w:tcPr>
          <w:p>
            <w:r>
              <w:t>Activity</w:t>
            </w:r>
          </w:p>
        </w:tc>
        <w:tc>
          <w:tcPr>
            <w:tcW w:type="dxa" w:w="1440"/>
          </w:tcPr>
          <w:p>
            <w:r>
              <w:t>Run Operator</w:t>
            </w:r>
          </w:p>
        </w:tc>
        <w:tc>
          <w:tcPr>
            <w:tcW w:type="dxa" w:w="1440"/>
          </w:tcPr>
          <w:p>
            <w:r>
              <w:t>Data Steward</w:t>
            </w:r>
          </w:p>
        </w:tc>
        <w:tc>
          <w:tcPr>
            <w:tcW w:type="dxa" w:w="1440"/>
          </w:tcPr>
          <w:p>
            <w:r>
              <w:t>Model Owner</w:t>
            </w:r>
          </w:p>
        </w:tc>
        <w:tc>
          <w:tcPr>
            <w:tcW w:type="dxa" w:w="1440"/>
          </w:tcPr>
          <w:p>
            <w:r>
              <w:t>Finance Reviewer</w:t>
            </w:r>
          </w:p>
        </w:tc>
        <w:tc>
          <w:tcPr>
            <w:tcW w:type="dxa" w:w="1440"/>
          </w:tcPr>
          <w:p>
            <w:r>
              <w:t>MRM</w:t>
            </w:r>
          </w:p>
        </w:tc>
      </w:tr>
      <w:tr>
        <w:trPr>
          <w:cantSplit/>
        </w:trPr>
        <w:tc>
          <w:tcPr>
            <w:tcW w:type="dxa" w:w="1440"/>
          </w:tcPr>
          <w:p>
            <w:r>
              <w:t>Monthly QC review</w:t>
            </w:r>
          </w:p>
        </w:tc>
        <w:tc>
          <w:tcPr>
            <w:tcW w:type="dxa" w:w="1440"/>
          </w:tcPr>
          <w:p>
            <w:r>
              <w:t>C</w:t>
            </w:r>
          </w:p>
        </w:tc>
        <w:tc>
          <w:tcPr>
            <w:tcW w:type="dxa" w:w="1440"/>
          </w:tcPr>
          <w:p>
            <w:r>
              <w:t>R</w:t>
            </w:r>
          </w:p>
        </w:tc>
        <w:tc>
          <w:tcPr>
            <w:tcW w:type="dxa" w:w="1440"/>
          </w:tcPr>
          <w:p>
            <w:r>
              <w:t>C</w:t>
            </w:r>
          </w:p>
        </w:tc>
        <w:tc>
          <w:tcPr>
            <w:tcW w:type="dxa" w:w="1440"/>
          </w:tcPr>
          <w:p>
            <w:r>
              <w:t>I</w:t>
            </w:r>
          </w:p>
        </w:tc>
        <w:tc>
          <w:tcPr>
            <w:tcW w:type="dxa" w:w="1440"/>
          </w:tcPr>
          <w:p>
            <w:r>
              <w:t>I</w:t>
            </w:r>
          </w:p>
        </w:tc>
      </w:tr>
      <w:tr>
        <w:trPr>
          <w:cantSplit/>
        </w:trPr>
        <w:tc>
          <w:tcPr>
            <w:tcW w:type="dxa" w:w="1440"/>
          </w:tcPr>
          <w:p>
            <w:r>
              <w:t>Reconciliations</w:t>
            </w:r>
          </w:p>
        </w:tc>
        <w:tc>
          <w:tcPr>
            <w:tcW w:type="dxa" w:w="1440"/>
          </w:tcPr>
          <w:p>
            <w:r>
              <w:t>I</w:t>
            </w:r>
          </w:p>
        </w:tc>
        <w:tc>
          <w:tcPr>
            <w:tcW w:type="dxa" w:w="1440"/>
          </w:tcPr>
          <w:p>
            <w:r>
              <w:t>R</w:t>
            </w:r>
          </w:p>
        </w:tc>
        <w:tc>
          <w:tcPr>
            <w:tcW w:type="dxa" w:w="1440"/>
          </w:tcPr>
          <w:p>
            <w:r>
              <w:t>C</w:t>
            </w:r>
          </w:p>
        </w:tc>
        <w:tc>
          <w:tcPr>
            <w:tcW w:type="dxa" w:w="1440"/>
          </w:tcPr>
          <w:p>
            <w:r>
              <w:t>C</w:t>
            </w:r>
          </w:p>
        </w:tc>
        <w:tc>
          <w:tcPr>
            <w:tcW w:type="dxa" w:w="1440"/>
          </w:tcPr>
          <w:p>
            <w:r>
              <w:t>I</w:t>
            </w:r>
          </w:p>
        </w:tc>
      </w:tr>
      <w:tr>
        <w:trPr>
          <w:cantSplit/>
        </w:trPr>
        <w:tc>
          <w:tcPr>
            <w:tcW w:type="dxa" w:w="1440"/>
          </w:tcPr>
          <w:p>
            <w:r>
              <w:t>Scenario approval</w:t>
            </w:r>
          </w:p>
        </w:tc>
        <w:tc>
          <w:tcPr>
            <w:tcW w:type="dxa" w:w="1440"/>
          </w:tcPr>
          <w:p>
            <w:r>
              <w:t>I</w:t>
            </w:r>
          </w:p>
        </w:tc>
        <w:tc>
          <w:tcPr>
            <w:tcW w:type="dxa" w:w="1440"/>
          </w:tcPr>
          <w:p>
            <w:r>
              <w:t>I</w:t>
            </w:r>
          </w:p>
        </w:tc>
        <w:tc>
          <w:tcPr>
            <w:tcW w:type="dxa" w:w="1440"/>
          </w:tcPr>
          <w:p>
            <w:r>
              <w:t>C</w:t>
            </w:r>
          </w:p>
        </w:tc>
        <w:tc>
          <w:tcPr>
            <w:tcW w:type="dxa" w:w="1440"/>
          </w:tcPr>
          <w:p>
            <w:r>
              <w:t>R</w:t>
            </w:r>
          </w:p>
        </w:tc>
        <w:tc>
          <w:tcPr>
            <w:tcW w:type="dxa" w:w="1440"/>
          </w:tcPr>
          <w:p>
            <w:r>
              <w:t>C</w:t>
            </w:r>
          </w:p>
        </w:tc>
      </w:tr>
      <w:tr>
        <w:trPr>
          <w:cantSplit/>
        </w:trPr>
        <w:tc>
          <w:tcPr>
            <w:tcW w:type="dxa" w:w="1440"/>
          </w:tcPr>
          <w:p>
            <w:r>
              <w:t>Variance commentary</w:t>
            </w:r>
          </w:p>
        </w:tc>
        <w:tc>
          <w:tcPr>
            <w:tcW w:type="dxa" w:w="1440"/>
          </w:tcPr>
          <w:p>
            <w:r>
              <w:t>C</w:t>
            </w:r>
          </w:p>
        </w:tc>
        <w:tc>
          <w:tcPr>
            <w:tcW w:type="dxa" w:w="1440"/>
          </w:tcPr>
          <w:p>
            <w:r>
              <w:t>C</w:t>
            </w:r>
          </w:p>
        </w:tc>
        <w:tc>
          <w:tcPr>
            <w:tcW w:type="dxa" w:w="1440"/>
          </w:tcPr>
          <w:p>
            <w:r>
              <w:t>R</w:t>
            </w:r>
          </w:p>
        </w:tc>
        <w:tc>
          <w:tcPr>
            <w:tcW w:type="dxa" w:w="1440"/>
          </w:tcPr>
          <w:p>
            <w:r>
              <w:t>R</w:t>
            </w:r>
          </w:p>
        </w:tc>
        <w:tc>
          <w:tcPr>
            <w:tcW w:type="dxa" w:w="1440"/>
          </w:tcPr>
          <w:p>
            <w:r>
              <w:t>C</w:t>
            </w:r>
          </w:p>
        </w:tc>
      </w:tr>
      <w:tr>
        <w:trPr>
          <w:cantSplit/>
        </w:trPr>
        <w:tc>
          <w:tcPr>
            <w:tcW w:type="dxa" w:w="1440"/>
          </w:tcPr>
          <w:p>
            <w:r>
              <w:t>Override approval</w:t>
            </w:r>
          </w:p>
        </w:tc>
        <w:tc>
          <w:tcPr>
            <w:tcW w:type="dxa" w:w="1440"/>
          </w:tcPr>
          <w:p>
            <w:r>
              <w:t>I</w:t>
            </w:r>
          </w:p>
        </w:tc>
        <w:tc>
          <w:tcPr>
            <w:tcW w:type="dxa" w:w="1440"/>
          </w:tcPr>
          <w:p>
            <w:r>
              <w:t>C</w:t>
            </w:r>
          </w:p>
        </w:tc>
        <w:tc>
          <w:tcPr>
            <w:tcW w:type="dxa" w:w="1440"/>
          </w:tcPr>
          <w:p>
            <w:r>
              <w:t>R</w:t>
            </w:r>
          </w:p>
        </w:tc>
        <w:tc>
          <w:tcPr>
            <w:tcW w:type="dxa" w:w="1440"/>
          </w:tcPr>
          <w:p>
            <w:r>
              <w:t>R</w:t>
            </w:r>
          </w:p>
        </w:tc>
        <w:tc>
          <w:tcPr>
            <w:tcW w:type="dxa" w:w="1440"/>
          </w:tcPr>
          <w:p>
            <w:r>
              <w:t>C</w:t>
            </w:r>
          </w:p>
        </w:tc>
      </w:tr>
      <w:tr>
        <w:trPr>
          <w:cantSplit/>
        </w:trPr>
        <w:tc>
          <w:tcPr>
            <w:tcW w:type="dxa" w:w="1440"/>
          </w:tcPr>
          <w:p>
            <w:r>
              <w:t>Material change control</w:t>
            </w:r>
          </w:p>
        </w:tc>
        <w:tc>
          <w:tcPr>
            <w:tcW w:type="dxa" w:w="1440"/>
          </w:tcPr>
          <w:p>
            <w:r>
              <w:t>C</w:t>
            </w:r>
          </w:p>
        </w:tc>
        <w:tc>
          <w:tcPr>
            <w:tcW w:type="dxa" w:w="1440"/>
          </w:tcPr>
          <w:p>
            <w:r>
              <w:t>C</w:t>
            </w:r>
          </w:p>
        </w:tc>
        <w:tc>
          <w:tcPr>
            <w:tcW w:type="dxa" w:w="1440"/>
          </w:tcPr>
          <w:p>
            <w:r>
              <w:t>R</w:t>
            </w:r>
          </w:p>
        </w:tc>
        <w:tc>
          <w:tcPr>
            <w:tcW w:type="dxa" w:w="1440"/>
          </w:tcPr>
          <w:p>
            <w:r>
              <w:t>C</w:t>
            </w:r>
          </w:p>
        </w:tc>
        <w:tc>
          <w:tcPr>
            <w:tcW w:type="dxa" w:w="1440"/>
          </w:tcPr>
          <w:p>
            <w:r>
              <w:t>R</w:t>
            </w:r>
          </w:p>
        </w:tc>
      </w:tr>
    </w:tbl>
    <w:p>
      <w:r>
        <w:br w:type="page"/>
      </w:r>
    </w:p>
    <w:p>
      <w:pPr>
        <w:pStyle w:val="Heading1"/>
      </w:pPr>
      <w:r>
        <w:t>12. Regulatory Alignment Matrix (Illustrative)</w:t>
      </w:r>
    </w:p>
    <w:p>
      <w:pPr>
        <w:pStyle w:val="BodyText"/>
      </w:pPr>
      <w:r>
        <w:t>Illustrative mapping to common model risk governance themes; clients should align to internal policy and applicable guidance. This is not legal advice.</w:t>
      </w:r>
    </w:p>
    <w:tbl>
      <w:tblPr>
        <w:tblW w:type="auto" w:w="0"/>
        <w:tblLayout w:type="autofit"/>
        <w:tblLook w:firstColumn="1" w:firstRow="1" w:lastColumn="0" w:lastRow="0" w:noHBand="0" w:noVBand="1" w:val="04A0"/>
      </w:tblPr>
      <w:tblGrid>
        <w:gridCol w:w="2160"/>
        <w:gridCol w:w="2160"/>
        <w:gridCol w:w="2160"/>
        <w:gridCol w:w="2160"/>
      </w:tblGrid>
      <w:tr>
        <w:trPr>
          <w:tblHeader w:val="true"/>
          <w:cantSplit/>
        </w:trPr>
        <w:tc>
          <w:tcPr>
            <w:tcW w:type="dxa" w:w="2160"/>
          </w:tcPr>
          <w:p>
            <w:r>
              <w:t>Governance Theme</w:t>
            </w:r>
          </w:p>
        </w:tc>
        <w:tc>
          <w:tcPr>
            <w:tcW w:type="dxa" w:w="2160"/>
          </w:tcPr>
          <w:p>
            <w:r>
              <w:t>Typical Expectation</w:t>
            </w:r>
          </w:p>
        </w:tc>
        <w:tc>
          <w:tcPr>
            <w:tcW w:type="dxa" w:w="2160"/>
          </w:tcPr>
          <w:p>
            <w:r>
              <w:t>Guide Coverage</w:t>
            </w:r>
          </w:p>
        </w:tc>
        <w:tc>
          <w:tcPr>
            <w:tcW w:type="dxa" w:w="2160"/>
          </w:tcPr>
          <w:p>
            <w:r>
              <w:t>Example Evidence</w:t>
            </w:r>
          </w:p>
        </w:tc>
      </w:tr>
      <w:tr>
        <w:trPr>
          <w:cantSplit/>
        </w:trPr>
        <w:tc>
          <w:tcPr>
            <w:tcW w:type="dxa" w:w="2160"/>
          </w:tcPr>
          <w:p>
            <w:r>
              <w:t>Ongoing monitoring</w:t>
            </w:r>
          </w:p>
        </w:tc>
        <w:tc>
          <w:tcPr>
            <w:tcW w:type="dxa" w:w="2160"/>
          </w:tcPr>
          <w:p>
            <w:r>
              <w:t>Track performance and stability over time</w:t>
            </w:r>
          </w:p>
        </w:tc>
        <w:tc>
          <w:tcPr>
            <w:tcW w:type="dxa" w:w="2160"/>
          </w:tcPr>
          <w:p>
            <w:r>
              <w:t>Sections 3–5</w:t>
            </w:r>
          </w:p>
        </w:tc>
        <w:tc>
          <w:tcPr>
            <w:tcW w:type="dxa" w:w="2160"/>
          </w:tcPr>
          <w:p>
            <w:r>
              <w:t>Monitoring packs; trend KPIs</w:t>
            </w:r>
          </w:p>
        </w:tc>
      </w:tr>
      <w:tr>
        <w:trPr>
          <w:cantSplit/>
        </w:trPr>
        <w:tc>
          <w:tcPr>
            <w:tcW w:type="dxa" w:w="2160"/>
          </w:tcPr>
          <w:p>
            <w:r>
              <w:t>Data integrity</w:t>
            </w:r>
          </w:p>
        </w:tc>
        <w:tc>
          <w:tcPr>
            <w:tcW w:type="dxa" w:w="2160"/>
          </w:tcPr>
          <w:p>
            <w:r>
              <w:t>Ensure inputs are accurate and complete</w:t>
            </w:r>
          </w:p>
        </w:tc>
        <w:tc>
          <w:tcPr>
            <w:tcW w:type="dxa" w:w="2160"/>
          </w:tcPr>
          <w:p>
            <w:r>
              <w:t>Section 4</w:t>
            </w:r>
          </w:p>
        </w:tc>
        <w:tc>
          <w:tcPr>
            <w:tcW w:type="dxa" w:w="2160"/>
          </w:tcPr>
          <w:p>
            <w:r>
              <w:t>QC reports; reconciliations</w:t>
            </w:r>
          </w:p>
        </w:tc>
      </w:tr>
      <w:tr>
        <w:trPr>
          <w:cantSplit/>
        </w:trPr>
        <w:tc>
          <w:tcPr>
            <w:tcW w:type="dxa" w:w="2160"/>
          </w:tcPr>
          <w:p>
            <w:r>
              <w:t>Change control</w:t>
            </w:r>
          </w:p>
        </w:tc>
        <w:tc>
          <w:tcPr>
            <w:tcW w:type="dxa" w:w="2160"/>
          </w:tcPr>
          <w:p>
            <w:r>
              <w:t>Controlled changes with testing and approvals</w:t>
            </w:r>
          </w:p>
        </w:tc>
        <w:tc>
          <w:tcPr>
            <w:tcW w:type="dxa" w:w="2160"/>
          </w:tcPr>
          <w:p>
            <w:r>
              <w:t>Section 9</w:t>
            </w:r>
          </w:p>
        </w:tc>
        <w:tc>
          <w:tcPr>
            <w:tcW w:type="dxa" w:w="2160"/>
          </w:tcPr>
          <w:p>
            <w:r>
              <w:t>Tickets; UAT results</w:t>
            </w:r>
          </w:p>
        </w:tc>
      </w:tr>
      <w:tr>
        <w:trPr>
          <w:cantSplit/>
        </w:trPr>
        <w:tc>
          <w:tcPr>
            <w:tcW w:type="dxa" w:w="2160"/>
          </w:tcPr>
          <w:p>
            <w:r>
              <w:t>Override governance</w:t>
            </w:r>
          </w:p>
        </w:tc>
        <w:tc>
          <w:tcPr>
            <w:tcW w:type="dxa" w:w="2160"/>
          </w:tcPr>
          <w:p>
            <w:r>
              <w:t>Transparent and justified overrides/overlays</w:t>
            </w:r>
          </w:p>
        </w:tc>
        <w:tc>
          <w:tcPr>
            <w:tcW w:type="dxa" w:w="2160"/>
          </w:tcPr>
          <w:p>
            <w:r>
              <w:t>Section 7</w:t>
            </w:r>
          </w:p>
        </w:tc>
        <w:tc>
          <w:tcPr>
            <w:tcW w:type="dxa" w:w="2160"/>
          </w:tcPr>
          <w:p>
            <w:r>
              <w:t>Override logs; approvals</w:t>
            </w:r>
          </w:p>
        </w:tc>
      </w:tr>
      <w:tr>
        <w:trPr>
          <w:cantSplit/>
        </w:trPr>
        <w:tc>
          <w:tcPr>
            <w:tcW w:type="dxa" w:w="2160"/>
          </w:tcPr>
          <w:p>
            <w:r>
              <w:t>Documentation &amp; auditability</w:t>
            </w:r>
          </w:p>
        </w:tc>
        <w:tc>
          <w:tcPr>
            <w:tcW w:type="dxa" w:w="2160"/>
          </w:tcPr>
          <w:p>
            <w:r>
              <w:t>Support review and re-performance</w:t>
            </w:r>
          </w:p>
        </w:tc>
        <w:tc>
          <w:tcPr>
            <w:tcW w:type="dxa" w:w="2160"/>
          </w:tcPr>
          <w:p>
            <w:r>
              <w:t>Section 10</w:t>
            </w:r>
          </w:p>
        </w:tc>
        <w:tc>
          <w:tcPr>
            <w:tcW w:type="dxa" w:w="2160"/>
          </w:tcPr>
          <w:p>
            <w:r>
              <w:t>Evidence bundles; snapshots</w:t>
            </w:r>
          </w:p>
        </w:tc>
      </w:tr>
    </w:tbl>
    <w:p>
      <w:r>
        <w:br w:type="page"/>
      </w:r>
    </w:p>
    <w:p>
      <w:pPr>
        <w:pStyle w:val="Heading1"/>
      </w:pPr>
      <w:r>
        <w:t>Appendix A: Sample Monthly Monitoring Pack Outline</w:t>
      </w:r>
    </w:p>
    <w:p>
      <w:pPr>
        <w:pStyle w:val="ListNumber"/>
      </w:pPr>
      <w:r>
        <w:t>Executive summary and approvals</w:t>
      </w:r>
    </w:p>
    <w:p>
      <w:pPr>
        <w:pStyle w:val="ListNumber"/>
      </w:pPr>
      <w:r>
        <w:t>Input QC and reconciliations</w:t>
      </w:r>
    </w:p>
    <w:p>
      <w:pPr>
        <w:pStyle w:val="ListNumber"/>
      </w:pPr>
      <w:r>
        <w:t>Drift dashboard and commentary</w:t>
      </w:r>
    </w:p>
    <w:p>
      <w:pPr>
        <w:pStyle w:val="ListNumber"/>
      </w:pPr>
      <w:r>
        <w:t>Output variance and attribution</w:t>
      </w:r>
    </w:p>
    <w:p>
      <w:pPr>
        <w:pStyle w:val="ListNumber"/>
      </w:pPr>
      <w:r>
        <w:t>Exceptions, overrides, overlays log</w:t>
      </w:r>
    </w:p>
    <w:p>
      <w:pPr>
        <w:pStyle w:val="ListNumber"/>
      </w:pPr>
      <w:r>
        <w:t>Scenario confirmation and reversion settings</w:t>
      </w:r>
    </w:p>
    <w:p>
      <w:pPr>
        <w:pStyle w:val="ListNumber"/>
      </w:pPr>
      <w:r>
        <w:t>Appendix: detailed tables and extracts</w:t>
      </w:r>
    </w:p>
    <w:p>
      <w:pPr>
        <w:pStyle w:val="Heading1"/>
      </w:pPr>
      <w:r>
        <w:t>Appendix B: KPI Dictionary (Excerpt)</w:t>
      </w:r>
    </w:p>
    <w:tbl>
      <w:tblPr>
        <w:tblW w:type="auto" w:w="0"/>
        <w:tblLayout w:type="autofit"/>
        <w:tblLook w:firstColumn="1" w:firstRow="1" w:lastColumn="0" w:lastRow="0" w:noHBand="0" w:noVBand="1" w:val="04A0"/>
      </w:tblPr>
      <w:tblGrid>
        <w:gridCol w:w="1728"/>
        <w:gridCol w:w="1728"/>
        <w:gridCol w:w="1728"/>
        <w:gridCol w:w="1728"/>
        <w:gridCol w:w="1728"/>
      </w:tblGrid>
      <w:tr>
        <w:trPr>
          <w:tblHeader w:val="true"/>
          <w:cantSplit/>
        </w:trPr>
        <w:tc>
          <w:tcPr>
            <w:tcW w:type="dxa" w:w="1728"/>
          </w:tcPr>
          <w:p>
            <w:r>
              <w:t>KPI</w:t>
            </w:r>
          </w:p>
        </w:tc>
        <w:tc>
          <w:tcPr>
            <w:tcW w:type="dxa" w:w="1728"/>
          </w:tcPr>
          <w:p>
            <w:r>
              <w:t>Definition</w:t>
            </w:r>
          </w:p>
        </w:tc>
        <w:tc>
          <w:tcPr>
            <w:tcW w:type="dxa" w:w="1728"/>
          </w:tcPr>
          <w:p>
            <w:r>
              <w:t>Calculation</w:t>
            </w:r>
          </w:p>
        </w:tc>
        <w:tc>
          <w:tcPr>
            <w:tcW w:type="dxa" w:w="1728"/>
          </w:tcPr>
          <w:p>
            <w:r>
              <w:t>Suggested Threshold</w:t>
            </w:r>
          </w:p>
        </w:tc>
        <w:tc>
          <w:tcPr>
            <w:tcW w:type="dxa" w:w="1728"/>
          </w:tcPr>
          <w:p>
            <w:r>
              <w:t>Notes</w:t>
            </w:r>
          </w:p>
        </w:tc>
      </w:tr>
      <w:tr>
        <w:trPr>
          <w:cantSplit/>
        </w:trPr>
        <w:tc>
          <w:tcPr>
            <w:tcW w:type="dxa" w:w="1728"/>
          </w:tcPr>
          <w:p>
            <w:r>
              <w:t>Input coverage</w:t>
            </w:r>
          </w:p>
        </w:tc>
        <w:tc>
          <w:tcPr>
            <w:tcW w:type="dxa" w:w="1728"/>
          </w:tcPr>
          <w:p>
            <w:r>
              <w:t>% accounts with required fields</w:t>
            </w:r>
          </w:p>
        </w:tc>
        <w:tc>
          <w:tcPr>
            <w:tcW w:type="dxa" w:w="1728"/>
          </w:tcPr>
          <w:p>
            <w:r>
              <w:t>1 - missing/total</w:t>
            </w:r>
          </w:p>
        </w:tc>
        <w:tc>
          <w:tcPr>
            <w:tcW w:type="dxa" w:w="1728"/>
          </w:tcPr>
          <w:p>
            <w:r>
              <w:t>&gt;= 98%</w:t>
            </w:r>
          </w:p>
        </w:tc>
        <w:tc>
          <w:tcPr>
            <w:tcW w:type="dxa" w:w="1728"/>
          </w:tcPr>
          <w:p>
            <w:r>
              <w:t>By segment and total</w:t>
            </w:r>
          </w:p>
        </w:tc>
      </w:tr>
      <w:tr>
        <w:trPr>
          <w:cantSplit/>
        </w:trPr>
        <w:tc>
          <w:tcPr>
            <w:tcW w:type="dxa" w:w="1728"/>
          </w:tcPr>
          <w:p>
            <w:r>
              <w:t>Balance tie-out</w:t>
            </w:r>
          </w:p>
        </w:tc>
        <w:tc>
          <w:tcPr>
            <w:tcW w:type="dxa" w:w="1728"/>
          </w:tcPr>
          <w:p>
            <w:r>
              <w:t>Variance vs control total</w:t>
            </w:r>
          </w:p>
        </w:tc>
        <w:tc>
          <w:tcPr>
            <w:tcW w:type="dxa" w:w="1728"/>
          </w:tcPr>
          <w:p>
            <w:r>
              <w:t>|model-control|/control</w:t>
            </w:r>
          </w:p>
        </w:tc>
        <w:tc>
          <w:tcPr>
            <w:tcW w:type="dxa" w:w="1728"/>
          </w:tcPr>
          <w:p>
            <w:r>
              <w:t>&lt; 0.5%</w:t>
            </w:r>
          </w:p>
        </w:tc>
        <w:tc>
          <w:tcPr>
            <w:tcW w:type="dxa" w:w="1728"/>
          </w:tcPr>
          <w:p>
            <w:r>
              <w:t>Investigate structural diffs</w:t>
            </w:r>
          </w:p>
        </w:tc>
      </w:tr>
      <w:tr>
        <w:trPr>
          <w:cantSplit/>
        </w:trPr>
        <w:tc>
          <w:tcPr>
            <w:tcW w:type="dxa" w:w="1728"/>
          </w:tcPr>
          <w:p>
            <w:r>
              <w:t>PSI (score)</w:t>
            </w:r>
          </w:p>
        </w:tc>
        <w:tc>
          <w:tcPr>
            <w:tcW w:type="dxa" w:w="1728"/>
          </w:tcPr>
          <w:p>
            <w:r>
              <w:t>Distribution shift vs baseline</w:t>
            </w:r>
          </w:p>
        </w:tc>
        <w:tc>
          <w:tcPr>
            <w:tcW w:type="dxa" w:w="1728"/>
          </w:tcPr>
          <w:p>
            <w:r>
              <w:t>PSI on bins</w:t>
            </w:r>
          </w:p>
        </w:tc>
        <w:tc>
          <w:tcPr>
            <w:tcW w:type="dxa" w:w="1728"/>
          </w:tcPr>
          <w:p>
            <w:r>
              <w:t>&lt; 0.10</w:t>
            </w:r>
          </w:p>
        </w:tc>
        <w:tc>
          <w:tcPr>
            <w:tcW w:type="dxa" w:w="1728"/>
          </w:tcPr>
          <w:p>
            <w:r>
              <w:t>Monitor at 0.10; investigate at 0.25</w:t>
            </w:r>
          </w:p>
        </w:tc>
      </w:tr>
      <w:tr>
        <w:trPr>
          <w:cantSplit/>
        </w:trPr>
        <w:tc>
          <w:tcPr>
            <w:tcW w:type="dxa" w:w="1728"/>
          </w:tcPr>
          <w:p>
            <w:r>
              <w:t>ECL variance</w:t>
            </w:r>
          </w:p>
        </w:tc>
        <w:tc>
          <w:tcPr>
            <w:tcW w:type="dxa" w:w="1728"/>
          </w:tcPr>
          <w:p>
            <w:r>
              <w:t>Change vs prior period</w:t>
            </w:r>
          </w:p>
        </w:tc>
        <w:tc>
          <w:tcPr>
            <w:tcW w:type="dxa" w:w="1728"/>
          </w:tcPr>
          <w:p>
            <w:r>
              <w:t>(ECL_t - ECL_t-1)/ECL_t-1</w:t>
            </w:r>
          </w:p>
        </w:tc>
        <w:tc>
          <w:tcPr>
            <w:tcW w:type="dxa" w:w="1728"/>
          </w:tcPr>
          <w:p>
            <w:r>
              <w:t>Client-defined</w:t>
            </w:r>
          </w:p>
        </w:tc>
        <w:tc>
          <w:tcPr>
            <w:tcW w:type="dxa" w:w="1728"/>
          </w:tcPr>
          <w:p>
            <w:r>
              <w:t>Use attribution</w:t>
            </w:r>
          </w:p>
        </w:tc>
      </w:tr>
      <w:tr>
        <w:trPr>
          <w:cantSplit/>
        </w:trPr>
        <w:tc>
          <w:tcPr>
            <w:tcW w:type="dxa" w:w="1728"/>
          </w:tcPr>
          <w:p>
            <w:r>
              <w:t>Override rate</w:t>
            </w:r>
          </w:p>
        </w:tc>
        <w:tc>
          <w:tcPr>
            <w:tcW w:type="dxa" w:w="1728"/>
          </w:tcPr>
          <w:p>
            <w:r>
              <w:t>% balances affected</w:t>
            </w:r>
          </w:p>
        </w:tc>
        <w:tc>
          <w:tcPr>
            <w:tcW w:type="dxa" w:w="1728"/>
          </w:tcPr>
          <w:p>
            <w:r>
              <w:t>override_bal/total_bal</w:t>
            </w:r>
          </w:p>
        </w:tc>
        <w:tc>
          <w:tcPr>
            <w:tcW w:type="dxa" w:w="1728"/>
          </w:tcPr>
          <w:p>
            <w:r>
              <w:t>Client-defined</w:t>
            </w:r>
          </w:p>
        </w:tc>
        <w:tc>
          <w:tcPr>
            <w:tcW w:type="dxa" w:w="1728"/>
          </w:tcPr>
          <w:p>
            <w:r>
              <w:t>Track persistence</w:t>
            </w:r>
          </w:p>
        </w:tc>
      </w:tr>
    </w:tbl>
    <w:p>
      <w:r>
        <w:br w:type="page"/>
      </w:r>
    </w:p>
    <w:p>
      <w:pPr>
        <w:pStyle w:val="Heading1"/>
      </w:pPr>
      <w:r>
        <w:t>Appendix C: Templates (Printable)</w:t>
      </w:r>
    </w:p>
    <w:p>
      <w:pPr>
        <w:pStyle w:val="Heading2"/>
      </w:pPr>
      <w:r>
        <w:t>C.1 Exception Memo Template (Outline)</w:t>
      </w:r>
    </w:p>
    <w:p>
      <w:pPr>
        <w:pStyle w:val="ListNumber"/>
      </w:pPr>
      <w:r>
        <w:t>Exception ID and date</w:t>
      </w:r>
    </w:p>
    <w:p>
      <w:pPr>
        <w:pStyle w:val="ListNumber"/>
      </w:pPr>
      <w:r>
        <w:t>Description and impacted portfolios/segments</w:t>
      </w:r>
    </w:p>
    <w:p>
      <w:pPr>
        <w:pStyle w:val="ListNumber"/>
      </w:pPr>
      <w:r>
        <w:t>Detection method and threshold trigger</w:t>
      </w:r>
    </w:p>
    <w:p>
      <w:pPr>
        <w:pStyle w:val="ListNumber"/>
      </w:pPr>
      <w:r>
        <w:t>Root cause assessment</w:t>
      </w:r>
    </w:p>
    <w:p>
      <w:pPr>
        <w:pStyle w:val="ListNumber"/>
      </w:pPr>
      <w:r>
        <w:t>Disposition (fix/accept/rerun/overlay)</w:t>
      </w:r>
    </w:p>
    <w:p>
      <w:pPr>
        <w:pStyle w:val="ListNumber"/>
      </w:pPr>
      <w:r>
        <w:t>Impact quantification (ECL delta)</w:t>
      </w:r>
    </w:p>
    <w:p>
      <w:pPr>
        <w:pStyle w:val="ListNumber"/>
      </w:pPr>
      <w:r>
        <w:t>Approvals and signatures</w:t>
      </w:r>
    </w:p>
    <w:p>
      <w:pPr>
        <w:pStyle w:val="ListNumber"/>
      </w:pPr>
      <w:r>
        <w:t>Follow-up actions and prevention</w:t>
      </w:r>
    </w:p>
    <w:p>
      <w:pPr>
        <w:pStyle w:val="Heading2"/>
      </w:pPr>
      <w:r>
        <w:t>C.2 Change Request Template (Outline)</w:t>
      </w:r>
    </w:p>
    <w:p>
      <w:pPr>
        <w:pStyle w:val="ListNumber"/>
      </w:pPr>
      <w:r>
        <w:t>Change summary and classification</w:t>
      </w:r>
    </w:p>
    <w:p>
      <w:pPr>
        <w:pStyle w:val="ListNumber"/>
      </w:pPr>
      <w:r>
        <w:t>Rationale and expected impact</w:t>
      </w:r>
    </w:p>
    <w:p>
      <w:pPr>
        <w:pStyle w:val="ListNumber"/>
      </w:pPr>
      <w:r>
        <w:t>Testing plan and acceptance criteria</w:t>
      </w:r>
    </w:p>
    <w:p>
      <w:pPr>
        <w:pStyle w:val="ListNumber"/>
      </w:pPr>
      <w:r>
        <w:t>Baseline comparison results</w:t>
      </w:r>
    </w:p>
    <w:p>
      <w:pPr>
        <w:pStyle w:val="ListNumber"/>
      </w:pPr>
      <w:r>
        <w:t>Implementation and rollback plan</w:t>
      </w:r>
    </w:p>
    <w:p>
      <w:pPr>
        <w:pStyle w:val="ListNumber"/>
      </w:pPr>
      <w:r>
        <w:t>Approvals and implementation window</w:t>
      </w:r>
    </w:p>
    <w:p>
      <w:r>
        <w:br w:type="page"/>
      </w:r>
    </w:p>
    <w:p>
      <w:pPr>
        <w:pStyle w:val="Heading1"/>
      </w:pPr>
      <w:r>
        <w:t>Appendix D: Glossary</w:t>
      </w:r>
    </w:p>
    <w:tbl>
      <w:tblPr>
        <w:tblW w:type="auto" w:w="0"/>
        <w:tblLayout w:type="autofit"/>
        <w:tblLook w:firstColumn="1" w:firstRow="1" w:lastColumn="0" w:lastRow="0" w:noHBand="0" w:noVBand="1" w:val="04A0"/>
      </w:tblPr>
      <w:tblGrid>
        <w:gridCol w:w="4320"/>
        <w:gridCol w:w="4320"/>
      </w:tblGrid>
      <w:tr>
        <w:trPr>
          <w:tblHeader w:val="true"/>
          <w:cantSplit/>
        </w:trPr>
        <w:tc>
          <w:tcPr>
            <w:tcW w:type="dxa" w:w="4320"/>
          </w:tcPr>
          <w:p>
            <w:r>
              <w:t>Term</w:t>
            </w:r>
          </w:p>
        </w:tc>
        <w:tc>
          <w:tcPr>
            <w:tcW w:type="dxa" w:w="4320"/>
          </w:tcPr>
          <w:p>
            <w:r>
              <w:t>Definition</w:t>
            </w:r>
          </w:p>
        </w:tc>
      </w:tr>
      <w:tr>
        <w:trPr>
          <w:cantSplit/>
        </w:trPr>
        <w:tc>
          <w:tcPr>
            <w:tcW w:type="dxa" w:w="4320"/>
          </w:tcPr>
          <w:p>
            <w:r>
              <w:t>ECL</w:t>
            </w:r>
          </w:p>
        </w:tc>
        <w:tc>
          <w:tcPr>
            <w:tcW w:type="dxa" w:w="4320"/>
          </w:tcPr>
          <w:p>
            <w:r>
              <w:t>Expected credit loss output (typically lifetime for CECL).</w:t>
            </w:r>
          </w:p>
        </w:tc>
      </w:tr>
      <w:tr>
        <w:trPr>
          <w:cantSplit/>
        </w:trPr>
        <w:tc>
          <w:tcPr>
            <w:tcW w:type="dxa" w:w="4320"/>
          </w:tcPr>
          <w:p>
            <w:r>
              <w:t>PSI</w:t>
            </w:r>
          </w:p>
        </w:tc>
        <w:tc>
          <w:tcPr>
            <w:tcW w:type="dxa" w:w="4320"/>
          </w:tcPr>
          <w:p>
            <w:r>
              <w:t>Population Stability Index; measure of distribution shift.</w:t>
            </w:r>
          </w:p>
        </w:tc>
      </w:tr>
      <w:tr>
        <w:trPr>
          <w:cantSplit/>
        </w:trPr>
        <w:tc>
          <w:tcPr>
            <w:tcW w:type="dxa" w:w="4320"/>
          </w:tcPr>
          <w:p>
            <w:r>
              <w:t>MRM</w:t>
            </w:r>
          </w:p>
        </w:tc>
        <w:tc>
          <w:tcPr>
            <w:tcW w:type="dxa" w:w="4320"/>
          </w:tcPr>
          <w:p>
            <w:r>
              <w:t>Model Risk Management function.</w:t>
            </w:r>
          </w:p>
        </w:tc>
      </w:tr>
      <w:tr>
        <w:trPr>
          <w:cantSplit/>
        </w:trPr>
        <w:tc>
          <w:tcPr>
            <w:tcW w:type="dxa" w:w="4320"/>
          </w:tcPr>
          <w:p>
            <w:r>
              <w:t>QC</w:t>
            </w:r>
          </w:p>
        </w:tc>
        <w:tc>
          <w:tcPr>
            <w:tcW w:type="dxa" w:w="4320"/>
          </w:tcPr>
          <w:p>
            <w:r>
              <w:t>Quality control checks on inputs/outputs.</w:t>
            </w:r>
          </w:p>
        </w:tc>
      </w:tr>
      <w:tr>
        <w:trPr>
          <w:cantSplit/>
        </w:trPr>
        <w:tc>
          <w:tcPr>
            <w:tcW w:type="dxa" w:w="4320"/>
          </w:tcPr>
          <w:p>
            <w:r>
              <w:t>UAT</w:t>
            </w:r>
          </w:p>
        </w:tc>
        <w:tc>
          <w:tcPr>
            <w:tcW w:type="dxa" w:w="4320"/>
          </w:tcPr>
          <w:p>
            <w:r>
              <w:t>User acceptance testing environment.</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separate"/>
      <w:t>1</w:t>
      <w:fldChar w:fldCharType="end"/>
    </w:r>
    <w:r>
      <w:t xml:space="preserve">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Northstar CECL Suite v4.2 - Model Monitoring &amp; Governance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ext">
    <w:name w:val="BodyText"/>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