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Northstar Analytics</w:t>
        <w:br/>
      </w:r>
    </w:p>
    <w:p>
      <w:pPr>
        <w:jc w:val="center"/>
      </w:pPr>
      <w:r>
        <w:rPr>
          <w:b/>
          <w:sz w:val="38"/>
        </w:rPr>
        <w:t>CECL Suite v4.2</w:t>
        <w:br/>
        <w:t>Implementation &amp; Production Operations Runbook</w:t>
      </w:r>
    </w:p>
    <w:p>
      <w:pPr>
        <w:jc w:val="center"/>
      </w:pPr>
      <w:r>
        <w:rPr>
          <w:sz w:val="24"/>
        </w:rPr>
        <w:t>Document ID: NA-CECL-OPS-4.2</w:t>
        <w:br/>
        <w:t>Release Date: February 17, 2026</w:t>
      </w:r>
    </w:p>
    <w:p>
      <w:pPr>
        <w:jc w:val="center"/>
      </w:pPr>
      <w:r>
        <w:rPr>
          <w:i/>
          <w:sz w:val="22"/>
        </w:rPr>
        <w:t>Confidential - For Client Operations Use Only</w:t>
      </w:r>
    </w:p>
    <w:p/>
    <w:p>
      <w:pPr>
        <w:pStyle w:val="BodyText"/>
      </w:pPr>
      <w:r>
        <w:rPr>
          <w:b/>
        </w:rPr>
        <w:t xml:space="preserve">Prepared by: </w:t>
      </w:r>
      <w:r>
        <w:t>Northstar Analytics, Delivery Engineering &amp; Platform Ops</w:t>
        <w:br/>
      </w:r>
      <w:r>
        <w:rPr>
          <w:b/>
        </w:rPr>
        <w:t xml:space="preserve">Primary contacts: </w:t>
      </w:r>
      <w:r>
        <w:t>ops@northstaranalytics.example | modelsupport@northstaranalytics.example</w:t>
        <w:br/>
      </w:r>
      <w:r>
        <w:rPr>
          <w:b/>
        </w:rPr>
        <w:t xml:space="preserve">Target users: </w:t>
      </w:r>
      <w:r>
        <w:t>Client Model Owners, Finance Close Team, IT Integration, Model Risk Management</w:t>
        <w:br/>
      </w:r>
    </w:p>
    <w:p>
      <w:r>
        <w:br w:type="page"/>
      </w:r>
    </w:p>
    <w:p>
      <w:pPr>
        <w:pStyle w:val="Heading1"/>
      </w:pPr>
      <w:r>
        <w:t>Document Control</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Version</w:t>
            </w:r>
          </w:p>
        </w:tc>
        <w:tc>
          <w:tcPr>
            <w:tcW w:type="dxa" w:w="1728"/>
          </w:tcPr>
          <w:p>
            <w:r>
              <w:t>Date</w:t>
            </w:r>
          </w:p>
        </w:tc>
        <w:tc>
          <w:tcPr>
            <w:tcW w:type="dxa" w:w="1728"/>
          </w:tcPr>
          <w:p>
            <w:r>
              <w:t>Author</w:t>
            </w:r>
          </w:p>
        </w:tc>
        <w:tc>
          <w:tcPr>
            <w:tcW w:type="dxa" w:w="1728"/>
          </w:tcPr>
          <w:p>
            <w:r>
              <w:t>Reviewer</w:t>
            </w:r>
          </w:p>
        </w:tc>
        <w:tc>
          <w:tcPr>
            <w:tcW w:type="dxa" w:w="1728"/>
          </w:tcPr>
          <w:p>
            <w:r>
              <w:t>Summary of Changes</w:t>
            </w:r>
          </w:p>
        </w:tc>
      </w:tr>
      <w:tr>
        <w:trPr>
          <w:cantSplit/>
        </w:trPr>
        <w:tc>
          <w:tcPr>
            <w:tcW w:type="dxa" w:w="1728"/>
          </w:tcPr>
          <w:p>
            <w:r>
              <w:t>2.0</w:t>
            </w:r>
          </w:p>
        </w:tc>
        <w:tc>
          <w:tcPr>
            <w:tcW w:type="dxa" w:w="1728"/>
          </w:tcPr>
          <w:p>
            <w:r>
              <w:t>2025-09-18</w:t>
            </w:r>
          </w:p>
        </w:tc>
        <w:tc>
          <w:tcPr>
            <w:tcW w:type="dxa" w:w="1728"/>
          </w:tcPr>
          <w:p>
            <w:r>
              <w:t>J. Rivera</w:t>
            </w:r>
          </w:p>
        </w:tc>
        <w:tc>
          <w:tcPr>
            <w:tcW w:type="dxa" w:w="1728"/>
          </w:tcPr>
          <w:p>
            <w:r>
              <w:t>S. Khan</w:t>
            </w:r>
          </w:p>
        </w:tc>
        <w:tc>
          <w:tcPr>
            <w:tcW w:type="dxa" w:w="1728"/>
          </w:tcPr>
          <w:p>
            <w:r>
              <w:t>Initial production runbook for CECL Suite v4.0</w:t>
            </w:r>
          </w:p>
        </w:tc>
      </w:tr>
      <w:tr>
        <w:trPr>
          <w:cantSplit/>
        </w:trPr>
        <w:tc>
          <w:tcPr>
            <w:tcW w:type="dxa" w:w="1728"/>
          </w:tcPr>
          <w:p>
            <w:r>
              <w:t>2.1</w:t>
            </w:r>
          </w:p>
        </w:tc>
        <w:tc>
          <w:tcPr>
            <w:tcW w:type="dxa" w:w="1728"/>
          </w:tcPr>
          <w:p>
            <w:r>
              <w:t>2025-12-10</w:t>
            </w:r>
          </w:p>
        </w:tc>
        <w:tc>
          <w:tcPr>
            <w:tcW w:type="dxa" w:w="1728"/>
          </w:tcPr>
          <w:p>
            <w:r>
              <w:t>J. Rivera</w:t>
            </w:r>
          </w:p>
        </w:tc>
        <w:tc>
          <w:tcPr>
            <w:tcW w:type="dxa" w:w="1728"/>
          </w:tcPr>
          <w:p>
            <w:r>
              <w:t>S. Khan</w:t>
            </w:r>
          </w:p>
        </w:tc>
        <w:tc>
          <w:tcPr>
            <w:tcW w:type="dxa" w:w="1728"/>
          </w:tcPr>
          <w:p>
            <w:r>
              <w:t>Added rerun procedures; expanded evidence retention checklist</w:t>
            </w:r>
          </w:p>
        </w:tc>
      </w:tr>
      <w:tr>
        <w:trPr>
          <w:cantSplit/>
        </w:trPr>
        <w:tc>
          <w:tcPr>
            <w:tcW w:type="dxa" w:w="1728"/>
          </w:tcPr>
          <w:p>
            <w:r>
              <w:t>2.2</w:t>
            </w:r>
          </w:p>
        </w:tc>
        <w:tc>
          <w:tcPr>
            <w:tcW w:type="dxa" w:w="1728"/>
          </w:tcPr>
          <w:p>
            <w:r>
              <w:t>2026-02-17</w:t>
            </w:r>
          </w:p>
        </w:tc>
        <w:tc>
          <w:tcPr>
            <w:tcW w:type="dxa" w:w="1728"/>
          </w:tcPr>
          <w:p>
            <w:r>
              <w:t>J. Rivera</w:t>
            </w:r>
          </w:p>
        </w:tc>
        <w:tc>
          <w:tcPr>
            <w:tcW w:type="dxa" w:w="1728"/>
          </w:tcPr>
          <w:p>
            <w:r>
              <w:t>S. Khan</w:t>
            </w:r>
          </w:p>
        </w:tc>
        <w:tc>
          <w:tcPr>
            <w:tcW w:type="dxa" w:w="1728"/>
          </w:tcPr>
          <w:p>
            <w:r>
              <w:t>Updated orchestration; clarified close calendar; added DR steps</w:t>
            </w:r>
          </w:p>
        </w:tc>
      </w:tr>
    </w:tbl>
    <w:p/>
    <w:p>
      <w:pPr>
        <w:pStyle w:val="Heading2"/>
      </w:pPr>
      <w:r>
        <w:t>Distribution and Use</w:t>
      </w:r>
    </w:p>
    <w:p>
      <w:pPr>
        <w:pStyle w:val="BodyText"/>
      </w:pPr>
      <w:r>
        <w:t>This runbook provides operational procedures for implementing and executing the Northstar CECL Suite. It is written in a vendor operations format and is not aligned to client model documentation templates. Clients should integrate these procedures with internal close calendars, change control, and model governance requirements.</w:t>
      </w:r>
    </w:p>
    <w:p>
      <w:r>
        <w:br w:type="page"/>
      </w:r>
    </w:p>
    <w:p>
      <w:pPr>
        <w:pStyle w:val="Heading1"/>
      </w:pPr>
      <w:r>
        <w:t>Table of Contents (Generated in Word)</w:t>
      </w:r>
    </w:p>
    <w:p>
      <w:pPr>
        <w:pStyle w:val="BodyText"/>
      </w:pPr>
      <w:r>
        <w:t>This document includes a placeholder for a Microsoft Word-generated Table of Contents. To update: References &gt; Table of Contents &gt; Update Table.</w:t>
      </w:r>
    </w:p>
    <w:p/>
    <w:p>
      <w:pPr>
        <w:pStyle w:val="BodyText"/>
      </w:pPr>
      <w:r>
        <w:t>1. Purpose, Scope, and Operating Principles</w:t>
      </w:r>
    </w:p>
    <w:p>
      <w:pPr>
        <w:pStyle w:val="BodyText"/>
      </w:pPr>
      <w:r>
        <w:t>2. Platform Overview and System Topology</w:t>
      </w:r>
    </w:p>
    <w:p>
      <w:pPr>
        <w:pStyle w:val="BodyText"/>
      </w:pPr>
      <w:r>
        <w:t>3. Environments, Access, and Segregation of Duties</w:t>
      </w:r>
    </w:p>
    <w:p>
      <w:pPr>
        <w:pStyle w:val="BodyText"/>
      </w:pPr>
      <w:r>
        <w:t>4. Configuration Management and Release Process</w:t>
      </w:r>
    </w:p>
    <w:p>
      <w:pPr>
        <w:pStyle w:val="BodyText"/>
      </w:pPr>
      <w:r>
        <w:t>5. Close Calendar and End-to-End Run Overview</w:t>
      </w:r>
    </w:p>
    <w:p>
      <w:pPr>
        <w:pStyle w:val="BodyText"/>
      </w:pPr>
      <w:r>
        <w:t>6. Pre-Run Data Intake and Gate Controls</w:t>
      </w:r>
    </w:p>
    <w:p>
      <w:pPr>
        <w:pStyle w:val="BodyText"/>
      </w:pPr>
      <w:r>
        <w:t>7. Model Execution Procedure (Standard Run)</w:t>
      </w:r>
    </w:p>
    <w:p>
      <w:pPr>
        <w:pStyle w:val="BodyText"/>
      </w:pPr>
      <w:r>
        <w:t>8. Post-Run Checks, QC, and Reconciliations</w:t>
      </w:r>
    </w:p>
    <w:p>
      <w:pPr>
        <w:pStyle w:val="BodyText"/>
      </w:pPr>
      <w:r>
        <w:t>9. Reporting Outputs, Exports, and Distribution</w:t>
      </w:r>
    </w:p>
    <w:p>
      <w:pPr>
        <w:pStyle w:val="BodyText"/>
      </w:pPr>
      <w:r>
        <w:t>10. Exceptions, Reruns, and Adjusted Runs</w:t>
      </w:r>
    </w:p>
    <w:p>
      <w:pPr>
        <w:pStyle w:val="BodyText"/>
      </w:pPr>
      <w:r>
        <w:t>11. Incident Management and Support</w:t>
      </w:r>
    </w:p>
    <w:p>
      <w:pPr>
        <w:pStyle w:val="BodyText"/>
      </w:pPr>
      <w:r>
        <w:t>12. Backup, Business Continuity, and Disaster Recovery</w:t>
      </w:r>
    </w:p>
    <w:p>
      <w:pPr>
        <w:pStyle w:val="BodyText"/>
      </w:pPr>
      <w:r>
        <w:t>13. Audit Evidence, Retention, and Traceability</w:t>
      </w:r>
    </w:p>
    <w:p>
      <w:pPr>
        <w:pStyle w:val="BodyText"/>
      </w:pPr>
      <w:r>
        <w:t>Appendices (Checklists, Sample Logs, Job Catalog, Glossary)</w:t>
      </w:r>
    </w:p>
    <w:p>
      <w:r>
        <w:br w:type="page"/>
      </w:r>
    </w:p>
    <w:p>
      <w:pPr>
        <w:pStyle w:val="Heading1"/>
      </w:pPr>
      <w:r>
        <w:t>1. Purpose, Scope, and Operating Principles</w:t>
      </w:r>
    </w:p>
    <w:p>
      <w:pPr>
        <w:pStyle w:val="BodyText"/>
      </w:pPr>
      <w:r>
        <w:rPr>
          <w:b/>
        </w:rPr>
        <w:t xml:space="preserve">Purpose. </w:t>
      </w:r>
      <w:r>
        <w:t>Define repeatable, controlled procedures for implementing the CECL Suite and executing monthly/quarterly allowance runs with appropriate controls, evidence, and error handling.</w:t>
      </w:r>
    </w:p>
    <w:p>
      <w:pPr>
        <w:pStyle w:val="BodyText"/>
      </w:pPr>
      <w:r>
        <w:rPr>
          <w:b/>
        </w:rPr>
        <w:t xml:space="preserve">Scope. </w:t>
      </w:r>
      <w:r>
        <w:t>Includes data ingestion, QC gating, model execution, output delivery, and evidence retention. Excludes policy decisions such as scenario weights and overlays, which remain client-governed.</w:t>
      </w:r>
    </w:p>
    <w:p>
      <w:pPr>
        <w:pStyle w:val="Heading2"/>
      </w:pPr>
      <w:r>
        <w:t>1.1 Operating Principles</w:t>
      </w:r>
    </w:p>
    <w:p>
      <w:pPr>
        <w:pStyle w:val="ListBullet"/>
      </w:pPr>
      <w:r>
        <w:t>Deterministic processing: same inputs + configuration produce identical outputs.</w:t>
      </w:r>
    </w:p>
    <w:p>
      <w:pPr>
        <w:pStyle w:val="ListBullet"/>
      </w:pPr>
      <w:r>
        <w:t>Segregation of duties: separate roles for data delivery, run execution, and approval.</w:t>
      </w:r>
    </w:p>
    <w:p>
      <w:pPr>
        <w:pStyle w:val="ListBullet"/>
      </w:pPr>
      <w:r>
        <w:t>Controlled change: configuration and code changes routed through release process.</w:t>
      </w:r>
    </w:p>
    <w:p>
      <w:pPr>
        <w:pStyle w:val="ListBullet"/>
      </w:pPr>
      <w:r>
        <w:t>Auditability: preserve artifacts that support re-performance and review.</w:t>
      </w:r>
    </w:p>
    <w:p>
      <w:pPr>
        <w:pStyle w:val="ListBullet"/>
      </w:pPr>
      <w:r>
        <w:t>Fail-safe operation: clear rerun and rollback procedures with documented rationale.</w:t>
      </w:r>
    </w:p>
    <w:p>
      <w:pPr>
        <w:pStyle w:val="Heading2"/>
      </w:pPr>
      <w:r>
        <w:t>1.2 Roles Used in This Runbook (Vendor Terminology)</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Role</w:t>
            </w:r>
          </w:p>
        </w:tc>
        <w:tc>
          <w:tcPr>
            <w:tcW w:type="dxa" w:w="4320"/>
          </w:tcPr>
          <w:p>
            <w:r>
              <w:t>Responsibilities</w:t>
            </w:r>
          </w:p>
        </w:tc>
      </w:tr>
      <w:tr>
        <w:trPr>
          <w:cantSplit/>
        </w:trPr>
        <w:tc>
          <w:tcPr>
            <w:tcW w:type="dxa" w:w="4320"/>
          </w:tcPr>
          <w:p>
            <w:r>
              <w:t>Run Operator</w:t>
            </w:r>
          </w:p>
        </w:tc>
        <w:tc>
          <w:tcPr>
            <w:tcW w:type="dxa" w:w="4320"/>
          </w:tcPr>
          <w:p>
            <w:r>
              <w:t>Executes the run, monitors jobs, coordinates with support; cannot approve results.</w:t>
            </w:r>
          </w:p>
        </w:tc>
      </w:tr>
      <w:tr>
        <w:trPr>
          <w:cantSplit/>
        </w:trPr>
        <w:tc>
          <w:tcPr>
            <w:tcW w:type="dxa" w:w="4320"/>
          </w:tcPr>
          <w:p>
            <w:r>
              <w:t>Data Steward</w:t>
            </w:r>
          </w:p>
        </w:tc>
        <w:tc>
          <w:tcPr>
            <w:tcW w:type="dxa" w:w="4320"/>
          </w:tcPr>
          <w:p>
            <w:r>
              <w:t>Owns data delivery and reconciliations; resolves data QC findings.</w:t>
            </w:r>
          </w:p>
        </w:tc>
      </w:tr>
      <w:tr>
        <w:trPr>
          <w:cantSplit/>
        </w:trPr>
        <w:tc>
          <w:tcPr>
            <w:tcW w:type="dxa" w:w="4320"/>
          </w:tcPr>
          <w:p>
            <w:r>
              <w:t>Finance Reviewer</w:t>
            </w:r>
          </w:p>
        </w:tc>
        <w:tc>
          <w:tcPr>
            <w:tcW w:type="dxa" w:w="4320"/>
          </w:tcPr>
          <w:p>
            <w:r>
              <w:t>Reviews outputs and reconciliations; approves reporting package.</w:t>
            </w:r>
          </w:p>
        </w:tc>
      </w:tr>
      <w:tr>
        <w:trPr>
          <w:cantSplit/>
        </w:trPr>
        <w:tc>
          <w:tcPr>
            <w:tcW w:type="dxa" w:w="4320"/>
          </w:tcPr>
          <w:p>
            <w:r>
              <w:t>Platform Admin</w:t>
            </w:r>
          </w:p>
        </w:tc>
        <w:tc>
          <w:tcPr>
            <w:tcW w:type="dxa" w:w="4320"/>
          </w:tcPr>
          <w:p>
            <w:r>
              <w:t>Manages access and infrastructure; does not modify model logic.</w:t>
            </w:r>
          </w:p>
        </w:tc>
      </w:tr>
      <w:tr>
        <w:trPr>
          <w:cantSplit/>
        </w:trPr>
        <w:tc>
          <w:tcPr>
            <w:tcW w:type="dxa" w:w="4320"/>
          </w:tcPr>
          <w:p>
            <w:r>
              <w:t>Model Support</w:t>
            </w:r>
          </w:p>
        </w:tc>
        <w:tc>
          <w:tcPr>
            <w:tcW w:type="dxa" w:w="4320"/>
          </w:tcPr>
          <w:p>
            <w:r>
              <w:t>Vendor support for defects and questions; provides hotfixes under change control.</w:t>
            </w:r>
          </w:p>
        </w:tc>
      </w:tr>
    </w:tbl>
    <w:p>
      <w:r>
        <w:br w:type="page"/>
      </w:r>
    </w:p>
    <w:p>
      <w:pPr>
        <w:pStyle w:val="Heading1"/>
      </w:pPr>
      <w:r>
        <w:t>2. Platform Overview and System Topology</w:t>
      </w:r>
    </w:p>
    <w:p>
      <w:pPr>
        <w:pStyle w:val="BodyText"/>
      </w:pPr>
      <w:r>
        <w:t>The CECL Suite is deployed as a set of services: file intake, staging, canonical transformation, quality control engine, model compute engine, results store, and export/reporting layer. Implementations may be on Northstar-managed infrastructure or client-managed infrastructure depending on contracting and security requirements.</w:t>
      </w:r>
    </w:p>
    <w:p>
      <w:pPr>
        <w:pStyle w:val="Heading2"/>
      </w:pPr>
      <w:r>
        <w:t>2.1 System Topology (Illustrative)</w:t>
      </w:r>
    </w:p>
    <w:p>
      <w:r>
        <w:drawing>
          <wp:inline xmlns:a="http://schemas.openxmlformats.org/drawingml/2006/main" xmlns:pic="http://schemas.openxmlformats.org/drawingml/2006/picture">
            <wp:extent cx="6217920" cy="2238451"/>
            <wp:docPr id="1" name="Picture 1"/>
            <wp:cNvGraphicFramePr>
              <a:graphicFrameLocks noChangeAspect="1"/>
            </wp:cNvGraphicFramePr>
            <a:graphic>
              <a:graphicData uri="http://schemas.openxmlformats.org/drawingml/2006/picture">
                <pic:pic>
                  <pic:nvPicPr>
                    <pic:cNvPr id="0" name="ns_env_topology.png"/>
                    <pic:cNvPicPr/>
                  </pic:nvPicPr>
                  <pic:blipFill>
                    <a:blip r:embed="rId11"/>
                    <a:stretch>
                      <a:fillRect/>
                    </a:stretch>
                  </pic:blipFill>
                  <pic:spPr>
                    <a:xfrm>
                      <a:off x="0" y="0"/>
                      <a:ext cx="6217920" cy="2238451"/>
                    </a:xfrm>
                    <a:prstGeom prst="rect"/>
                  </pic:spPr>
                </pic:pic>
              </a:graphicData>
            </a:graphic>
          </wp:inline>
        </w:drawing>
      </w:r>
    </w:p>
    <w:p>
      <w:pPr>
        <w:pStyle w:val="Heading2"/>
      </w:pPr>
      <w:r>
        <w:t>2.2 Core Components</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Component</w:t>
            </w:r>
          </w:p>
        </w:tc>
        <w:tc>
          <w:tcPr>
            <w:tcW w:type="dxa" w:w="4320"/>
          </w:tcPr>
          <w:p>
            <w:r>
              <w:t>Purpose</w:t>
            </w:r>
          </w:p>
        </w:tc>
      </w:tr>
      <w:tr>
        <w:trPr>
          <w:cantSplit/>
        </w:trPr>
        <w:tc>
          <w:tcPr>
            <w:tcW w:type="dxa" w:w="4320"/>
          </w:tcPr>
          <w:p>
            <w:r>
              <w:t>Intake Gateway</w:t>
            </w:r>
          </w:p>
        </w:tc>
        <w:tc>
          <w:tcPr>
            <w:tcW w:type="dxa" w:w="4320"/>
          </w:tcPr>
          <w:p>
            <w:r>
              <w:t>Receives encrypted files via SFTP/API; validates package metadata; stores in landing zone.</w:t>
            </w:r>
          </w:p>
        </w:tc>
      </w:tr>
      <w:tr>
        <w:trPr>
          <w:cantSplit/>
        </w:trPr>
        <w:tc>
          <w:tcPr>
            <w:tcW w:type="dxa" w:w="4320"/>
          </w:tcPr>
          <w:p>
            <w:r>
              <w:t>Landing Zone</w:t>
            </w:r>
          </w:p>
        </w:tc>
        <w:tc>
          <w:tcPr>
            <w:tcW w:type="dxa" w:w="4320"/>
          </w:tcPr>
          <w:p>
            <w:r>
              <w:t>Encrypted storage location; immutable file storage with checksums.</w:t>
            </w:r>
          </w:p>
        </w:tc>
      </w:tr>
      <w:tr>
        <w:trPr>
          <w:cantSplit/>
        </w:trPr>
        <w:tc>
          <w:tcPr>
            <w:tcW w:type="dxa" w:w="4320"/>
          </w:tcPr>
          <w:p>
            <w:r>
              <w:t>Staging Database</w:t>
            </w:r>
          </w:p>
        </w:tc>
        <w:tc>
          <w:tcPr>
            <w:tcW w:type="dxa" w:w="4320"/>
          </w:tcPr>
          <w:p>
            <w:r>
              <w:t>Raw landing tables; minimal transformations; supports re-processing.</w:t>
            </w:r>
          </w:p>
        </w:tc>
      </w:tr>
      <w:tr>
        <w:trPr>
          <w:cantSplit/>
        </w:trPr>
        <w:tc>
          <w:tcPr>
            <w:tcW w:type="dxa" w:w="4320"/>
          </w:tcPr>
          <w:p>
            <w:r>
              <w:t>Canonical Database</w:t>
            </w:r>
          </w:p>
        </w:tc>
        <w:tc>
          <w:tcPr>
            <w:tcW w:type="dxa" w:w="4320"/>
          </w:tcPr>
          <w:p>
            <w:r>
              <w:t>Standardized Northstar DM tables consumed by model engine.</w:t>
            </w:r>
          </w:p>
        </w:tc>
      </w:tr>
      <w:tr>
        <w:trPr>
          <w:cantSplit/>
        </w:trPr>
        <w:tc>
          <w:tcPr>
            <w:tcW w:type="dxa" w:w="4320"/>
          </w:tcPr>
          <w:p>
            <w:r>
              <w:t>QC Rules Engine</w:t>
            </w:r>
          </w:p>
        </w:tc>
        <w:tc>
          <w:tcPr>
            <w:tcW w:type="dxa" w:w="4320"/>
          </w:tcPr>
          <w:p>
            <w:r>
              <w:t>Automated checks; outputs QC findings and gate status.</w:t>
            </w:r>
          </w:p>
        </w:tc>
      </w:tr>
      <w:tr>
        <w:trPr>
          <w:cantSplit/>
        </w:trPr>
        <w:tc>
          <w:tcPr>
            <w:tcW w:type="dxa" w:w="4320"/>
          </w:tcPr>
          <w:p>
            <w:r>
              <w:t>Model Engine</w:t>
            </w:r>
          </w:p>
        </w:tc>
        <w:tc>
          <w:tcPr>
            <w:tcW w:type="dxa" w:w="4320"/>
          </w:tcPr>
          <w:p>
            <w:r>
              <w:t>Computes ECL outputs; writes results to store.</w:t>
            </w:r>
          </w:p>
        </w:tc>
      </w:tr>
      <w:tr>
        <w:trPr>
          <w:cantSplit/>
        </w:trPr>
        <w:tc>
          <w:tcPr>
            <w:tcW w:type="dxa" w:w="4320"/>
          </w:tcPr>
          <w:p>
            <w:r>
              <w:t>Results Store/Audit Vault</w:t>
            </w:r>
          </w:p>
        </w:tc>
        <w:tc>
          <w:tcPr>
            <w:tcW w:type="dxa" w:w="4320"/>
          </w:tcPr>
          <w:p>
            <w:r>
              <w:t>Holds run artifacts, configuration snapshots, and outputs.</w:t>
            </w:r>
          </w:p>
        </w:tc>
      </w:tr>
      <w:tr>
        <w:trPr>
          <w:cantSplit/>
        </w:trPr>
        <w:tc>
          <w:tcPr>
            <w:tcW w:type="dxa" w:w="4320"/>
          </w:tcPr>
          <w:p>
            <w:r>
              <w:t>Export &amp; Reporting</w:t>
            </w:r>
          </w:p>
        </w:tc>
        <w:tc>
          <w:tcPr>
            <w:tcW w:type="dxa" w:w="4320"/>
          </w:tcPr>
          <w:p>
            <w:r>
              <w:t>Generates client-facing files and reporting datasets.</w:t>
            </w:r>
          </w:p>
        </w:tc>
      </w:tr>
    </w:tbl>
    <w:p>
      <w:pPr>
        <w:pStyle w:val="Heading2"/>
      </w:pPr>
      <w:r>
        <w:t>2.3 Run Identifiers and Metadata</w:t>
      </w:r>
    </w:p>
    <w:p>
      <w:pPr>
        <w:pStyle w:val="BodyText"/>
      </w:pPr>
      <w:r>
        <w:t>Each run is assigned a run_id (e.g., 2026Q1_SRB_00052). Runs include metadata: as_of_date, scenario_set, configuration_version, data_package_id, execution timestamps, operator id, and export package checksums. Metadata is stored in the audit vault.</w:t>
      </w:r>
    </w:p>
    <w:p>
      <w:r>
        <w:br w:type="page"/>
      </w:r>
    </w:p>
    <w:p>
      <w:pPr>
        <w:pStyle w:val="Heading1"/>
      </w:pPr>
      <w:r>
        <w:t>3. Environments, Access, and Segregation of Duties</w:t>
      </w:r>
    </w:p>
    <w:p>
      <w:pPr>
        <w:pStyle w:val="BodyText"/>
      </w:pPr>
      <w:r>
        <w:t>The CECL Suite supports separate environments to manage change and reduce operational risk. Minimum recommended: DEV, UAT, and PROD.</w:t>
      </w:r>
    </w:p>
    <w:p>
      <w:pPr>
        <w:pStyle w:val="Heading2"/>
      </w:pPr>
      <w:r>
        <w:t>3.1 Environments</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Environment</w:t>
            </w:r>
          </w:p>
        </w:tc>
        <w:tc>
          <w:tcPr>
            <w:tcW w:type="dxa" w:w="4320"/>
          </w:tcPr>
          <w:p>
            <w:r>
              <w:t>Use</w:t>
            </w:r>
          </w:p>
        </w:tc>
      </w:tr>
      <w:tr>
        <w:trPr>
          <w:cantSplit/>
        </w:trPr>
        <w:tc>
          <w:tcPr>
            <w:tcW w:type="dxa" w:w="4320"/>
          </w:tcPr>
          <w:p>
            <w:r>
              <w:t>DEV</w:t>
            </w:r>
          </w:p>
        </w:tc>
        <w:tc>
          <w:tcPr>
            <w:tcW w:type="dxa" w:w="4320"/>
          </w:tcPr>
          <w:p>
            <w:r>
              <w:t>Engineering/testing; synthetic or masked data; frequent changes</w:t>
            </w:r>
          </w:p>
        </w:tc>
      </w:tr>
      <w:tr>
        <w:trPr>
          <w:cantSplit/>
        </w:trPr>
        <w:tc>
          <w:tcPr>
            <w:tcW w:type="dxa" w:w="4320"/>
          </w:tcPr>
          <w:p>
            <w:r>
              <w:t>UAT</w:t>
            </w:r>
          </w:p>
        </w:tc>
        <w:tc>
          <w:tcPr>
            <w:tcW w:type="dxa" w:w="4320"/>
          </w:tcPr>
          <w:p>
            <w:r>
              <w:t>Client testing and parallel runs; approvals prior to production releases</w:t>
            </w:r>
          </w:p>
        </w:tc>
      </w:tr>
      <w:tr>
        <w:trPr>
          <w:cantSplit/>
        </w:trPr>
        <w:tc>
          <w:tcPr>
            <w:tcW w:type="dxa" w:w="4320"/>
          </w:tcPr>
          <w:p>
            <w:r>
              <w:t>PROD</w:t>
            </w:r>
          </w:p>
        </w:tc>
        <w:tc>
          <w:tcPr>
            <w:tcW w:type="dxa" w:w="4320"/>
          </w:tcPr>
          <w:p>
            <w:r>
              <w:t>Production close runs; controlled change; restricted access</w:t>
            </w:r>
          </w:p>
        </w:tc>
      </w:tr>
    </w:tbl>
    <w:p>
      <w:pPr>
        <w:pStyle w:val="Heading2"/>
      </w:pPr>
      <w:r>
        <w:t>3.2 Access Controls (Typical)</w:t>
      </w:r>
    </w:p>
    <w:p>
      <w:pPr>
        <w:pStyle w:val="BodyText"/>
      </w:pPr>
      <w:r>
        <w:t>Access is role-based. Write access to production configuration is limited. Run execution requires multi-factor authentication and is logged.</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Permission</w:t>
            </w:r>
          </w:p>
        </w:tc>
        <w:tc>
          <w:tcPr>
            <w:tcW w:type="dxa" w:w="2160"/>
          </w:tcPr>
          <w:p>
            <w:r>
              <w:t>Run Operator</w:t>
            </w:r>
          </w:p>
        </w:tc>
        <w:tc>
          <w:tcPr>
            <w:tcW w:type="dxa" w:w="2160"/>
          </w:tcPr>
          <w:p>
            <w:r>
              <w:t>Data Steward</w:t>
            </w:r>
          </w:p>
        </w:tc>
        <w:tc>
          <w:tcPr>
            <w:tcW w:type="dxa" w:w="2160"/>
          </w:tcPr>
          <w:p>
            <w:r>
              <w:t>Finance Reviewer</w:t>
            </w:r>
          </w:p>
        </w:tc>
      </w:tr>
      <w:tr>
        <w:trPr>
          <w:cantSplit/>
        </w:trPr>
        <w:tc>
          <w:tcPr>
            <w:tcW w:type="dxa" w:w="2160"/>
          </w:tcPr>
          <w:p>
            <w:r>
              <w:t>Upload data package</w:t>
            </w:r>
          </w:p>
        </w:tc>
        <w:tc>
          <w:tcPr>
            <w:tcW w:type="dxa" w:w="2160"/>
          </w:tcPr>
          <w:p>
            <w:r>
              <w:t>N</w:t>
            </w:r>
          </w:p>
        </w:tc>
        <w:tc>
          <w:tcPr>
            <w:tcW w:type="dxa" w:w="2160"/>
          </w:tcPr>
          <w:p>
            <w:r>
              <w:t>Y</w:t>
            </w:r>
          </w:p>
        </w:tc>
        <w:tc>
          <w:tcPr>
            <w:tcW w:type="dxa" w:w="2160"/>
          </w:tcPr>
          <w:p>
            <w:r>
              <w:t>N</w:t>
            </w:r>
          </w:p>
        </w:tc>
      </w:tr>
      <w:tr>
        <w:trPr>
          <w:cantSplit/>
        </w:trPr>
        <w:tc>
          <w:tcPr>
            <w:tcW w:type="dxa" w:w="2160"/>
          </w:tcPr>
          <w:p>
            <w:r>
              <w:t>Execute model run</w:t>
            </w:r>
          </w:p>
        </w:tc>
        <w:tc>
          <w:tcPr>
            <w:tcW w:type="dxa" w:w="2160"/>
          </w:tcPr>
          <w:p>
            <w:r>
              <w:t>Y</w:t>
            </w:r>
          </w:p>
        </w:tc>
        <w:tc>
          <w:tcPr>
            <w:tcW w:type="dxa" w:w="2160"/>
          </w:tcPr>
          <w:p>
            <w:r>
              <w:t>N</w:t>
            </w:r>
          </w:p>
        </w:tc>
        <w:tc>
          <w:tcPr>
            <w:tcW w:type="dxa" w:w="2160"/>
          </w:tcPr>
          <w:p>
            <w:r>
              <w:t>N</w:t>
            </w:r>
          </w:p>
        </w:tc>
      </w:tr>
      <w:tr>
        <w:trPr>
          <w:cantSplit/>
        </w:trPr>
        <w:tc>
          <w:tcPr>
            <w:tcW w:type="dxa" w:w="2160"/>
          </w:tcPr>
          <w:p>
            <w:r>
              <w:t>Approve QC gate</w:t>
            </w:r>
          </w:p>
        </w:tc>
        <w:tc>
          <w:tcPr>
            <w:tcW w:type="dxa" w:w="2160"/>
          </w:tcPr>
          <w:p>
            <w:r>
              <w:t>N</w:t>
            </w:r>
          </w:p>
        </w:tc>
        <w:tc>
          <w:tcPr>
            <w:tcW w:type="dxa" w:w="2160"/>
          </w:tcPr>
          <w:p>
            <w:r>
              <w:t>Y</w:t>
            </w:r>
          </w:p>
        </w:tc>
        <w:tc>
          <w:tcPr>
            <w:tcW w:type="dxa" w:w="2160"/>
          </w:tcPr>
          <w:p>
            <w:r>
              <w:t>N</w:t>
            </w:r>
          </w:p>
        </w:tc>
      </w:tr>
      <w:tr>
        <w:trPr>
          <w:cantSplit/>
        </w:trPr>
        <w:tc>
          <w:tcPr>
            <w:tcW w:type="dxa" w:w="2160"/>
          </w:tcPr>
          <w:p>
            <w:r>
              <w:t>Approve final outputs</w:t>
            </w:r>
          </w:p>
        </w:tc>
        <w:tc>
          <w:tcPr>
            <w:tcW w:type="dxa" w:w="2160"/>
          </w:tcPr>
          <w:p>
            <w:r>
              <w:t>N</w:t>
            </w:r>
          </w:p>
        </w:tc>
        <w:tc>
          <w:tcPr>
            <w:tcW w:type="dxa" w:w="2160"/>
          </w:tcPr>
          <w:p>
            <w:r>
              <w:t>N</w:t>
            </w:r>
          </w:p>
        </w:tc>
        <w:tc>
          <w:tcPr>
            <w:tcW w:type="dxa" w:w="2160"/>
          </w:tcPr>
          <w:p>
            <w:r>
              <w:t>Y</w:t>
            </w:r>
          </w:p>
        </w:tc>
      </w:tr>
      <w:tr>
        <w:trPr>
          <w:cantSplit/>
        </w:trPr>
        <w:tc>
          <w:tcPr>
            <w:tcW w:type="dxa" w:w="2160"/>
          </w:tcPr>
          <w:p>
            <w:r>
              <w:t>Modify model configuration</w:t>
            </w:r>
          </w:p>
        </w:tc>
        <w:tc>
          <w:tcPr>
            <w:tcW w:type="dxa" w:w="2160"/>
          </w:tcPr>
          <w:p>
            <w:r>
              <w:t>N</w:t>
            </w:r>
          </w:p>
        </w:tc>
        <w:tc>
          <w:tcPr>
            <w:tcW w:type="dxa" w:w="2160"/>
          </w:tcPr>
          <w:p>
            <w:r>
              <w:t>N</w:t>
            </w:r>
          </w:p>
        </w:tc>
        <w:tc>
          <w:tcPr>
            <w:tcW w:type="dxa" w:w="2160"/>
          </w:tcPr>
          <w:p>
            <w:r>
              <w:t>N (controlled)</w:t>
            </w:r>
          </w:p>
        </w:tc>
      </w:tr>
      <w:tr>
        <w:trPr>
          <w:cantSplit/>
        </w:trPr>
        <w:tc>
          <w:tcPr>
            <w:tcW w:type="dxa" w:w="2160"/>
          </w:tcPr>
          <w:p>
            <w:r>
              <w:t>Access audit vault</w:t>
            </w:r>
          </w:p>
        </w:tc>
        <w:tc>
          <w:tcPr>
            <w:tcW w:type="dxa" w:w="2160"/>
          </w:tcPr>
          <w:p>
            <w:r>
              <w:t>Read</w:t>
            </w:r>
          </w:p>
        </w:tc>
        <w:tc>
          <w:tcPr>
            <w:tcW w:type="dxa" w:w="2160"/>
          </w:tcPr>
          <w:p>
            <w:r>
              <w:t>Read</w:t>
            </w:r>
          </w:p>
        </w:tc>
        <w:tc>
          <w:tcPr>
            <w:tcW w:type="dxa" w:w="2160"/>
          </w:tcPr>
          <w:p>
            <w:r>
              <w:t>Read</w:t>
            </w:r>
          </w:p>
        </w:tc>
      </w:tr>
    </w:tbl>
    <w:p>
      <w:pPr>
        <w:pStyle w:val="Heading2"/>
      </w:pPr>
      <w:r>
        <w:t>3.3 Segregation of Duties Controls</w:t>
      </w:r>
    </w:p>
    <w:p>
      <w:pPr>
        <w:pStyle w:val="ListBullet"/>
      </w:pPr>
      <w:r>
        <w:t>Run Operator cannot approve QC gates or final reporting package.</w:t>
      </w:r>
    </w:p>
    <w:p>
      <w:pPr>
        <w:pStyle w:val="ListBullet"/>
      </w:pPr>
      <w:r>
        <w:t>Data Steward cannot modify production model code; can remediate and re-deliver data.</w:t>
      </w:r>
    </w:p>
    <w:p>
      <w:pPr>
        <w:pStyle w:val="ListBullet"/>
      </w:pPr>
      <w:r>
        <w:t>Finance Reviewer signs off on final package and retains evidence bundle.</w:t>
      </w:r>
    </w:p>
    <w:p>
      <w:pPr>
        <w:pStyle w:val="ListBullet"/>
      </w:pPr>
      <w:r>
        <w:t>Emergency access (break-glass) is logged and reviewed after-the-fact.</w:t>
      </w:r>
    </w:p>
    <w:p>
      <w:pPr>
        <w:pStyle w:val="Heading2"/>
      </w:pPr>
      <w:r>
        <w:t>3.4 Security Controls</w:t>
      </w:r>
    </w:p>
    <w:p>
      <w:pPr>
        <w:pStyle w:val="BodyText"/>
      </w:pPr>
      <w:r>
        <w:t xml:space="preserve">Northstar applies layered security controls across the CECL Suite platform to protect client data, model logic, and output artifacts. Controls are organized across five domains:</w:t>
      </w:r>
    </w:p>
    <w:p>
      <w:pPr>
        <w:pStyle w:val="BodyText"/>
      </w:pPr>
      <w:r>
        <w:t xml:space="preserve">Data in Transit: All client-to-Northstar data transmission occurs via SFTP with RSA key-based authentication (minimum 2048-bit keys) or mutual TLS (mTLS) for REST API delivery. No unencrypted channels are supported. PGP encryption (AES-256 symmetric cipher, RSA-2048 session key wrapping) is required on all data files prior to upload. Northstar rotates SFTP host keys and client public keys on an annual basis or upon suspected compromise. Connection attempts are logged at the gateway with source IP, timestamp, and authentication outcome.</w:t>
      </w:r>
    </w:p>
    <w:p>
      <w:pPr>
        <w:pStyle w:val="BodyText"/>
      </w:pPr>
      <w:r>
        <w:t xml:space="preserve">Data at Rest: All client data stored in the Northstar environment is encrypted at rest using AES-256. Encryption keys are managed by Northstar’s Key Management Service (KMS) with annual rotation. The audit vault uses write-once, read-many (WORM) object storage with immutability locks to prevent tampering with historical run artifacts. Storage is logically segregated by client identifier; no cross-client data access is possible.</w:t>
      </w:r>
    </w:p>
    <w:p>
      <w:pPr>
        <w:pStyle w:val="BodyText"/>
      </w:pPr>
      <w:r>
        <w:t xml:space="preserve">Access Management: All platform access requires multi-factor authentication (MFA). User accounts are provisioned on a least-privilege basis by role (see Section 3.2). Access is reviewed quarterly; inactive accounts are disabled after 30 days of inactivity. Privileged access by Northstar support personnel is granted on a time-limited, ticket-linked basis and is logged to an immutable access log. Clients may request an access log extract for any period via Northstar Client Services.</w:t>
      </w:r>
    </w:p>
    <w:p>
      <w:pPr>
        <w:pStyle w:val="BodyText"/>
      </w:pPr>
      <w:r>
        <w:t xml:space="preserve">Model and Code Protection: Production model code and configuration artifacts are stored in a version-controlled repository with branch protection rules. Merges to the production branch require peer review and automated test passage. Deployment to the PROD environment is gated by an approved change ticket and executed by the Platform Admin role only; developers do not have write access to production infrastructure. Model parameter files and configuration tables are checksummed at deployment; any subsequent modification is detected and alerts the Platform Admin.</w:t>
      </w:r>
    </w:p>
    <w:p>
      <w:pPr>
        <w:pStyle w:val="BodyText"/>
      </w:pPr>
      <w:r>
        <w:t xml:space="preserve">Threat and Vulnerability Management: Northstar performs annual penetration testing of the CECL Suite platform by an independent third party and addresses findings on a risk-prioritized basis. Critical and High vulnerability findings are remediated within 30 and 90 days, respectively. Automated vulnerability scanning is run on all platform components on a weekly basis. Security incident detection and response procedures are documented in the Northstar Information Security Policy (available to clients under NDA as part of due diligence review). Evidence of security controls, including penetration test summary reports and findings remediation status, is available to clients as part of the SOC 2 Type II report (see Document NA-CECL-MDR-4.2, Appendix F, and the ETL Specification Document NA-CECL-DMES-4.2, Appendix E).</w:t>
      </w:r>
    </w:p>
    <w:p>
      <w:r>
        <w:br w:type="page"/>
      </w:r>
    </w:p>
    <w:p>
      <w:pPr>
        <w:pStyle w:val="Heading1"/>
      </w:pPr>
      <w:r>
        <w:t>4. Configuration Management and Release Process</w:t>
      </w:r>
    </w:p>
    <w:p>
      <w:pPr>
        <w:pStyle w:val="BodyText"/>
      </w:pPr>
      <w:r>
        <w:t>Configuration items include segmentation tables, scenario set definitions, model parameters (e.g., reversion horizon), export layouts, QC thresholds, and mapping metadata. Configuration is versioned and promoted through environments.</w:t>
      </w:r>
    </w:p>
    <w:p>
      <w:pPr>
        <w:pStyle w:val="Heading2"/>
      </w:pPr>
      <w:r>
        <w:t>4.1 Configuration Artifacts (Examples)</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Artifact</w:t>
            </w:r>
          </w:p>
        </w:tc>
        <w:tc>
          <w:tcPr>
            <w:tcW w:type="dxa" w:w="4320"/>
          </w:tcPr>
          <w:p>
            <w:r>
              <w:t>Description</w:t>
            </w:r>
          </w:p>
        </w:tc>
      </w:tr>
      <w:tr>
        <w:trPr>
          <w:cantSplit/>
        </w:trPr>
        <w:tc>
          <w:tcPr>
            <w:tcW w:type="dxa" w:w="4320"/>
          </w:tcPr>
          <w:p>
            <w:r>
              <w:t>SEGMENT_DEFINITION</w:t>
            </w:r>
          </w:p>
        </w:tc>
        <w:tc>
          <w:tcPr>
            <w:tcW w:type="dxa" w:w="4320"/>
          </w:tcPr>
          <w:p>
            <w:r>
              <w:t>Segment rules and overrides by portfolio</w:t>
            </w:r>
          </w:p>
        </w:tc>
      </w:tr>
      <w:tr>
        <w:trPr>
          <w:cantSplit/>
        </w:trPr>
        <w:tc>
          <w:tcPr>
            <w:tcW w:type="dxa" w:w="4320"/>
          </w:tcPr>
          <w:p>
            <w:r>
              <w:t>SCENARIO_SET</w:t>
            </w:r>
          </w:p>
        </w:tc>
        <w:tc>
          <w:tcPr>
            <w:tcW w:type="dxa" w:w="4320"/>
          </w:tcPr>
          <w:p>
            <w:r>
              <w:t>Scenario names, weights, macro series mapping</w:t>
            </w:r>
          </w:p>
        </w:tc>
      </w:tr>
      <w:tr>
        <w:trPr>
          <w:cantSplit/>
        </w:trPr>
        <w:tc>
          <w:tcPr>
            <w:tcW w:type="dxa" w:w="4320"/>
          </w:tcPr>
          <w:p>
            <w:r>
              <w:t>RUN_CONTROL</w:t>
            </w:r>
          </w:p>
        </w:tc>
        <w:tc>
          <w:tcPr>
            <w:tcW w:type="dxa" w:w="4320"/>
          </w:tcPr>
          <w:p>
            <w:r>
              <w:t>As-of date, run mode, toggles</w:t>
            </w:r>
          </w:p>
        </w:tc>
      </w:tr>
      <w:tr>
        <w:trPr>
          <w:cantSplit/>
        </w:trPr>
        <w:tc>
          <w:tcPr>
            <w:tcW w:type="dxa" w:w="4320"/>
          </w:tcPr>
          <w:p>
            <w:r>
              <w:t>QC_RULES</w:t>
            </w:r>
          </w:p>
        </w:tc>
        <w:tc>
          <w:tcPr>
            <w:tcW w:type="dxa" w:w="4320"/>
          </w:tcPr>
          <w:p>
            <w:r>
              <w:t>Rule thresholds and gate settings</w:t>
            </w:r>
          </w:p>
        </w:tc>
      </w:tr>
      <w:tr>
        <w:trPr>
          <w:cantSplit/>
        </w:trPr>
        <w:tc>
          <w:tcPr>
            <w:tcW w:type="dxa" w:w="4320"/>
          </w:tcPr>
          <w:p>
            <w:r>
              <w:t>EXPORT_LAYOUT</w:t>
            </w:r>
          </w:p>
        </w:tc>
        <w:tc>
          <w:tcPr>
            <w:tcW w:type="dxa" w:w="4320"/>
          </w:tcPr>
          <w:p>
            <w:r>
              <w:t>File formats and report templates</w:t>
            </w:r>
          </w:p>
        </w:tc>
      </w:tr>
    </w:tbl>
    <w:p>
      <w:pPr>
        <w:pStyle w:val="Heading2"/>
      </w:pPr>
      <w:r>
        <w:t>4.2 Release Workflow (Standard)</w:t>
      </w:r>
    </w:p>
    <w:p>
      <w:pPr>
        <w:pStyle w:val="ListNumber"/>
      </w:pPr>
      <w:r>
        <w:t>Plan: define change scope, risk, and test plan; open change ticket.</w:t>
      </w:r>
    </w:p>
    <w:p>
      <w:pPr>
        <w:pStyle w:val="ListNumber"/>
      </w:pPr>
      <w:r>
        <w:t>Build: implement change in DEV; generate release candidate.</w:t>
      </w:r>
    </w:p>
    <w:p>
      <w:pPr>
        <w:pStyle w:val="ListNumber"/>
      </w:pPr>
      <w:r>
        <w:t>Test: execute unit tests and sample run; remediate defects.</w:t>
      </w:r>
    </w:p>
    <w:p>
      <w:pPr>
        <w:pStyle w:val="ListNumber"/>
      </w:pPr>
      <w:r>
        <w:t>UAT: client runs parallel test; approves release candidate.</w:t>
      </w:r>
    </w:p>
    <w:p>
      <w:pPr>
        <w:pStyle w:val="ListNumber"/>
      </w:pPr>
      <w:r>
        <w:t>Promote: deploy to PROD during approved window; capture deployment evidence.</w:t>
      </w:r>
    </w:p>
    <w:p>
      <w:pPr>
        <w:pStyle w:val="ListNumber"/>
      </w:pPr>
      <w:r>
        <w:t>Post-deploy: perform smoke test and confirm baseline behavior.</w:t>
      </w:r>
    </w:p>
    <w:p>
      <w:pPr>
        <w:pStyle w:val="Heading2"/>
      </w:pPr>
      <w:r>
        <w:t>4.3 Rollback Policy</w:t>
      </w:r>
    </w:p>
    <w:p>
      <w:pPr>
        <w:pStyle w:val="BodyText"/>
      </w:pPr>
      <w:r>
        <w:t>If a production deployment causes an unacceptable outcome (failed smoke test, corrupted outputs, or material unexpected change), rollback is executed by restoring the prior configuration snapshot and/or prior release package. Rollbacks are documented with root cause and follow-up actions.</w:t>
      </w:r>
    </w:p>
    <w:p>
      <w:pPr>
        <w:pStyle w:val="Heading2"/>
      </w:pPr>
      <w:r>
        <w:t>4.4 Material Change Definition and Escalation Thresholds</w:t>
      </w:r>
    </w:p>
    <w:p>
      <w:pPr>
        <w:pStyle w:val="BodyText"/>
      </w:pPr>
      <w:r>
        <w:t xml:space="preserve">For purposes of this runbook, a material change is any modification to the CECL Suite configuration, code, or data pipeline that is reasonably expected to produce a directional shift in aggregate portfolio-level ECL of 5% or greater, or that alters the methodology, segmentation structure, model components, or discounting approach. This operational definition is aligned with the vendor-level definition in the Methodology and Model Development Report (Document NA-CECL-MDR-4.2, Section 11.6). Clients are responsible for applying their own model change policy, which may have a different or more conservative materiality threshold. The following classification guides how changes are handled within this runbook:</w:t>
      </w:r>
    </w:p>
    <w:p>
      <w:pPr>
        <w:pStyle w:val="BodyText"/>
      </w:pPr>
      <w:r>
        <w:t xml:space="preserve">Major Release (e.g., v4.x to v5.0): Changes to core methodology, segmentation engine, or model estimation approach. Always treated as material. Requires full release workflow (Section 4.2), UAT, parallel run, client model owner sign-off, and updated Methodology Report. Client model risk management re-validation is typically triggered.</w:t>
      </w:r>
    </w:p>
    <w:p>
      <w:pPr>
        <w:pStyle w:val="BodyText"/>
      </w:pPr>
      <w:r>
        <w:t xml:space="preserve">Minor Release (e.g., v4.1 to v4.2): Calibration updates, new diagnostic outputs, expanded scenario support, or documentation revisions. Not automatically material. Northstar provides a change impact memo quantifying the expected ECL effect. Client model owner reviews the memo and determines materiality under their policy. If deemed non-material, UAT is still recommended but parallel run may be waived with documented rationale.</w:t>
      </w:r>
    </w:p>
    <w:p>
      <w:pPr>
        <w:pStyle w:val="BodyText"/>
      </w:pPr>
      <w:r>
        <w:t xml:space="preserve">Client Configuration Change (e.g., reversion horizon, scenario weights, QC thresholds): Governed by the client’s model change policy. Northstar recommends that any configuration change producing an ECL impact above the client’s materiality threshold be treated as a model change event, documented in the change log, and reviewed by model risk management prior to use in financial reporting. All configuration changes must be routed through the change ticket process (Section 4.2) and tested in UAT before promotion to PROD. Emergency configuration changes (e.g., correcting an erroneous setting that blocked processing) are permitted under the break-glass procedure with mandatory post-incident review within 5 business days.</w:t>
      </w:r>
    </w:p>
    <w:p>
      <w:pPr>
        <w:pStyle w:val="Heading2"/>
      </w:pPr>
      <w:r>
        <w:t>4.5 Implementation Testing Standards</w:t>
      </w:r>
    </w:p>
    <w:p>
      <w:pPr>
        <w:pStyle w:val="BodyText"/>
      </w:pPr>
      <w:r>
        <w:t xml:space="preserve">Northstar applies a multi-layer testing regime to ensure that each release of the CECL Suite is correctly implemented before it reaches production. The following testing types are performed and evidence is retained in the release package, which is available to clients for inclusion in validation documentation.</w:t>
      </w:r>
    </w:p>
    <w:p>
      <w:pPr>
        <w:pStyle w:val="BodyText"/>
      </w:pPr>
      <w:r>
        <w:t xml:space="preserve">Unit Testing: Individual model components (PD estimation, LGD, EAD/CCF, prepayment, projection engine, discounting) are tested against a library of synthetic test cases with known expected outputs. Tests cover standard cases, boundary conditions, and exception handling (e.g., zero balances, missing scores, zero-maturity instruments). Unit test pass rates and any failing tests with remediation are logged in the release record. A minimum 100% pass rate on all defined unit tests is required before a release candidate may proceed to integration testing.</w:t>
      </w:r>
    </w:p>
    <w:p>
      <w:pPr>
        <w:pStyle w:val="BodyText"/>
      </w:pPr>
      <w:r>
        <w:t xml:space="preserve">Integration Testing: The full end-to-end pipeline (data intake through JOB-700 archive) is executed in the DEV environment using a standardized synthetic portfolio. Outputs are compared to a versioned benchmark output set. Any deviation from the benchmark that is not explained by the intentional scope of the release is treated as a defect and must be resolved before UAT. Integration tests also cover component substitution scenarios (e.g., roll-rate PD replacing logistic PD for a test segment) to verify that the component interface contracts are maintained.</w:t>
      </w:r>
    </w:p>
    <w:p>
      <w:pPr>
        <w:pStyle w:val="BodyText"/>
      </w:pPr>
      <w:r>
        <w:t xml:space="preserve">Implementation Correctness Testing (Client Data): For each client implementation (initial go-live or major version upgrade), Northstar performs an implementation correctness review using the client’s own data. This involves: (i) running the new version in the UAT environment against the client’s most recent certified data package; (ii) comparing outputs at the segment and portfolio level to a reference run (either the prior version or a hand-calculated benchmark for a simplified test portfolio); (iii) documenting and explaining all differences at the component level (PD, LGD, EAD, prepayment, projection); and (iv) confirming that audit artifacts (run metadata, configuration snapshot, checksums) are correctly generated and stored. The implementation correctness review is documented in an Implementation Test Report, which is provided to the client for use in independent validation. For Sample Regional Bank, the implementation test report for v4.2 is referenced as Document NA-SRB-ITR-4.2.</w:t>
      </w:r>
    </w:p>
    <w:p>
      <w:pPr>
        <w:pStyle w:val="BodyText"/>
      </w:pPr>
      <w:r>
        <w:t xml:space="preserve">Regression Testing (Ongoing): With each minor release, Northstar executes a regression test suite across the client population using anonymized and aggregated data to confirm that no unintended changes in outputs have occurred. Regression results are summarized in the release notes accompanying each minor version increment.</w:t>
      </w:r>
    </w:p>
    <w:p>
      <w:r>
        <w:br w:type="page"/>
      </w:r>
    </w:p>
    <w:p>
      <w:pPr>
        <w:pStyle w:val="Heading1"/>
      </w:pPr>
      <w:r>
        <w:t>5. Close Calendar and End-to-End Run Overview</w:t>
      </w:r>
    </w:p>
    <w:p>
      <w:pPr>
        <w:pStyle w:val="BodyText"/>
      </w:pPr>
      <w:r>
        <w:t>The CECL Suite run is typically executed as part of the month-end or quarter-end close. The end-to-end process includes data extraction, delivery, QC gating, model execution, post-run checks, reporting, and archive.</w:t>
      </w:r>
    </w:p>
    <w:p>
      <w:pPr>
        <w:pStyle w:val="Heading2"/>
      </w:pPr>
      <w:r>
        <w:t>5.1 Example Close Timeline</w:t>
      </w:r>
    </w:p>
    <w:p>
      <w:r>
        <w:drawing>
          <wp:inline xmlns:a="http://schemas.openxmlformats.org/drawingml/2006/main" xmlns:pic="http://schemas.openxmlformats.org/drawingml/2006/picture">
            <wp:extent cx="6217920" cy="1616659"/>
            <wp:docPr id="2" name="Picture 2"/>
            <wp:cNvGraphicFramePr>
              <a:graphicFrameLocks noChangeAspect="1"/>
            </wp:cNvGraphicFramePr>
            <a:graphic>
              <a:graphicData uri="http://schemas.openxmlformats.org/drawingml/2006/picture">
                <pic:pic>
                  <pic:nvPicPr>
                    <pic:cNvPr id="0" name="ns_close_timeline.png"/>
                    <pic:cNvPicPr/>
                  </pic:nvPicPr>
                  <pic:blipFill>
                    <a:blip r:embed="rId12"/>
                    <a:stretch>
                      <a:fillRect/>
                    </a:stretch>
                  </pic:blipFill>
                  <pic:spPr>
                    <a:xfrm>
                      <a:off x="0" y="0"/>
                      <a:ext cx="6217920" cy="1616659"/>
                    </a:xfrm>
                    <a:prstGeom prst="rect"/>
                  </pic:spPr>
                </pic:pic>
              </a:graphicData>
            </a:graphic>
          </wp:inline>
        </w:drawing>
      </w:r>
    </w:p>
    <w:p>
      <w:pPr>
        <w:pStyle w:val="Heading2"/>
      </w:pPr>
      <w:r>
        <w:t>5.2 End-to-End Control Gates</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Gate</w:t>
            </w:r>
          </w:p>
        </w:tc>
        <w:tc>
          <w:tcPr>
            <w:tcW w:type="dxa" w:w="4320"/>
          </w:tcPr>
          <w:p>
            <w:r>
              <w:t>Criteria</w:t>
            </w:r>
          </w:p>
        </w:tc>
      </w:tr>
      <w:tr>
        <w:trPr>
          <w:cantSplit/>
        </w:trPr>
        <w:tc>
          <w:tcPr>
            <w:tcW w:type="dxa" w:w="4320"/>
          </w:tcPr>
          <w:p>
            <w:r>
              <w:t>Gate A: Data Package Acceptance</w:t>
            </w:r>
          </w:p>
        </w:tc>
        <w:tc>
          <w:tcPr>
            <w:tcW w:type="dxa" w:w="4320"/>
          </w:tcPr>
          <w:p>
            <w:r>
              <w:t>Delivery complete; checksums verified; package registered.</w:t>
            </w:r>
          </w:p>
        </w:tc>
      </w:tr>
      <w:tr>
        <w:trPr>
          <w:cantSplit/>
        </w:trPr>
        <w:tc>
          <w:tcPr>
            <w:tcW w:type="dxa" w:w="4320"/>
          </w:tcPr>
          <w:p>
            <w:r>
              <w:t>Gate B: QC Critical Checks</w:t>
            </w:r>
          </w:p>
        </w:tc>
        <w:tc>
          <w:tcPr>
            <w:tcW w:type="dxa" w:w="4320"/>
          </w:tcPr>
          <w:p>
            <w:r>
              <w:t>Key fields present; unique keys; referential integrity; critical rules pass.</w:t>
            </w:r>
          </w:p>
        </w:tc>
      </w:tr>
      <w:tr>
        <w:trPr>
          <w:cantSplit/>
        </w:trPr>
        <w:tc>
          <w:tcPr>
            <w:tcW w:type="dxa" w:w="4320"/>
          </w:tcPr>
          <w:p>
            <w:r>
              <w:t>Gate C: Reconciliations</w:t>
            </w:r>
          </w:p>
        </w:tc>
        <w:tc>
          <w:tcPr>
            <w:tcW w:type="dxa" w:w="4320"/>
          </w:tcPr>
          <w:p>
            <w:r>
              <w:t>Balances and CO/recovery tie to control totals within tolerance.</w:t>
            </w:r>
          </w:p>
        </w:tc>
      </w:tr>
      <w:tr>
        <w:trPr>
          <w:cantSplit/>
        </w:trPr>
        <w:tc>
          <w:tcPr>
            <w:tcW w:type="dxa" w:w="4320"/>
          </w:tcPr>
          <w:p>
            <w:r>
              <w:t>Gate D: Run Completion</w:t>
            </w:r>
          </w:p>
        </w:tc>
        <w:tc>
          <w:tcPr>
            <w:tcW w:type="dxa" w:w="4320"/>
          </w:tcPr>
          <w:p>
            <w:r>
              <w:t>Model run completed successfully; outputs generated; no critical exceptions.</w:t>
            </w:r>
          </w:p>
        </w:tc>
      </w:tr>
      <w:tr>
        <w:trPr>
          <w:cantSplit/>
        </w:trPr>
        <w:tc>
          <w:tcPr>
            <w:tcW w:type="dxa" w:w="4320"/>
          </w:tcPr>
          <w:p>
            <w:r>
              <w:t>Gate E: Finance Sign-off</w:t>
            </w:r>
          </w:p>
        </w:tc>
        <w:tc>
          <w:tcPr>
            <w:tcW w:type="dxa" w:w="4320"/>
          </w:tcPr>
          <w:p>
            <w:r>
              <w:t>Reporting package reviewed; rollforwards and GL tie-outs approved.</w:t>
            </w:r>
          </w:p>
        </w:tc>
      </w:tr>
      <w:tr>
        <w:trPr>
          <w:cantSplit/>
        </w:trPr>
        <w:tc>
          <w:tcPr>
            <w:tcW w:type="dxa" w:w="4320"/>
          </w:tcPr>
          <w:p>
            <w:r>
              <w:t>Gate F: Archive</w:t>
            </w:r>
          </w:p>
        </w:tc>
        <w:tc>
          <w:tcPr>
            <w:tcW w:type="dxa" w:w="4320"/>
          </w:tcPr>
          <w:p>
            <w:r>
              <w:t>Evidence bundle sealed; inputs/config/outputs stored; read-only.</w:t>
            </w:r>
          </w:p>
        </w:tc>
      </w:tr>
    </w:tbl>
    <w:p>
      <w:r>
        <w:br w:type="page"/>
      </w:r>
    </w:p>
    <w:p>
      <w:pPr>
        <w:pStyle w:val="Heading1"/>
      </w:pPr>
      <w:r>
        <w:t>6. Pre-Run Data Intake and Gate Controls</w:t>
      </w:r>
    </w:p>
    <w:p>
      <w:pPr>
        <w:pStyle w:val="Heading2"/>
      </w:pPr>
      <w:r>
        <w:t>6.1 Data Package Components</w:t>
      </w:r>
    </w:p>
    <w:p>
      <w:pPr>
        <w:pStyle w:val="ListBullet"/>
      </w:pPr>
      <w:r>
        <w:t>Required: ACCOUNT_MASTER, ACCOUNT_SNAPSHOT, TRANSACTION (optional for some portfolios), CHARGEOFF, RECOVERY, GL_CONTROL_TOTALS, MACRO_SERIES.</w:t>
      </w:r>
    </w:p>
    <w:p>
      <w:pPr>
        <w:pStyle w:val="ListBullet"/>
      </w:pPr>
      <w:r>
        <w:t>Optional: COLLATERAL, SCORE, reference dimensions, and configuration lookup tables.</w:t>
      </w:r>
    </w:p>
    <w:p>
      <w:pPr>
        <w:pStyle w:val="ListBullet"/>
      </w:pPr>
      <w:r>
        <w:t>Each table delivered as a file with consistent as_of_date and package id.</w:t>
      </w:r>
    </w:p>
    <w:p>
      <w:pPr>
        <w:pStyle w:val="Heading2"/>
      </w:pPr>
      <w:r>
        <w:t>6.2 Intake Steps (Operator/Steward)</w:t>
      </w:r>
    </w:p>
    <w:p>
      <w:pPr>
        <w:pStyle w:val="ListNumber"/>
      </w:pPr>
      <w:r>
        <w:t>Verify expected package files are present and encrypted; confirm checksum files (if provided).</w:t>
      </w:r>
    </w:p>
    <w:p>
      <w:pPr>
        <w:pStyle w:val="ListNumber"/>
      </w:pPr>
      <w:r>
        <w:t>Register data_package_id and as_of_date in intake console.</w:t>
      </w:r>
    </w:p>
    <w:p>
      <w:pPr>
        <w:pStyle w:val="ListNumber"/>
      </w:pPr>
      <w:r>
        <w:t>Decryption and load to staging initiated; monitor job completion.</w:t>
      </w:r>
    </w:p>
    <w:p>
      <w:pPr>
        <w:pStyle w:val="ListNumber"/>
      </w:pPr>
      <w:r>
        <w:t>Run automated QC suite; review critical/high findings.</w:t>
      </w:r>
    </w:p>
    <w:p>
      <w:pPr>
        <w:pStyle w:val="ListNumber"/>
      </w:pPr>
      <w:r>
        <w:t>If critical failures, reject package and initiate remediation (see Section 10).</w:t>
      </w:r>
    </w:p>
    <w:p>
      <w:pPr>
        <w:pStyle w:val="Heading2"/>
      </w:pPr>
      <w:r>
        <w:t>6.3 Pre-Run Checklist (Excerpt)</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Item</w:t>
            </w:r>
          </w:p>
        </w:tc>
        <w:tc>
          <w:tcPr>
            <w:tcW w:type="dxa" w:w="2160"/>
          </w:tcPr>
          <w:p>
            <w:r>
              <w:t>Owner</w:t>
            </w:r>
          </w:p>
        </w:tc>
        <w:tc>
          <w:tcPr>
            <w:tcW w:type="dxa" w:w="2160"/>
          </w:tcPr>
          <w:p>
            <w:r>
              <w:t>Evidence</w:t>
            </w:r>
          </w:p>
        </w:tc>
        <w:tc>
          <w:tcPr>
            <w:tcW w:type="dxa" w:w="2160"/>
          </w:tcPr>
          <w:p>
            <w:r>
              <w:t>Completed (Y/N)</w:t>
            </w:r>
          </w:p>
        </w:tc>
      </w:tr>
      <w:tr>
        <w:trPr>
          <w:cantSplit/>
        </w:trPr>
        <w:tc>
          <w:tcPr>
            <w:tcW w:type="dxa" w:w="2160"/>
          </w:tcPr>
          <w:p>
            <w:r>
              <w:t>Data package delivered and registered</w:t>
            </w:r>
          </w:p>
        </w:tc>
        <w:tc>
          <w:tcPr>
            <w:tcW w:type="dxa" w:w="2160"/>
          </w:tcPr>
          <w:p>
            <w:r>
              <w:t>Data Steward</w:t>
            </w:r>
          </w:p>
        </w:tc>
        <w:tc>
          <w:tcPr>
            <w:tcW w:type="dxa" w:w="2160"/>
          </w:tcPr>
          <w:p>
            <w:r>
              <w:t>Intake console screenshot / log export</w:t>
            </w:r>
          </w:p>
        </w:tc>
        <w:tc>
          <w:tcPr>
            <w:tcW w:type="dxa" w:w="2160"/>
          </w:tcPr>
          <w:p>
            <w:r/>
          </w:p>
        </w:tc>
      </w:tr>
      <w:tr>
        <w:trPr>
          <w:cantSplit/>
        </w:trPr>
        <w:tc>
          <w:tcPr>
            <w:tcW w:type="dxa" w:w="2160"/>
          </w:tcPr>
          <w:p>
            <w:r>
              <w:t>Critical QC rules pass</w:t>
            </w:r>
          </w:p>
        </w:tc>
        <w:tc>
          <w:tcPr>
            <w:tcW w:type="dxa" w:w="2160"/>
          </w:tcPr>
          <w:p>
            <w:r>
              <w:t>Data Steward</w:t>
            </w:r>
          </w:p>
        </w:tc>
        <w:tc>
          <w:tcPr>
            <w:tcW w:type="dxa" w:w="2160"/>
          </w:tcPr>
          <w:p>
            <w:r>
              <w:t>QC report (PDF/CSV)</w:t>
            </w:r>
          </w:p>
        </w:tc>
        <w:tc>
          <w:tcPr>
            <w:tcW w:type="dxa" w:w="2160"/>
          </w:tcPr>
          <w:p>
            <w:r/>
          </w:p>
        </w:tc>
      </w:tr>
      <w:tr>
        <w:trPr>
          <w:cantSplit/>
        </w:trPr>
        <w:tc>
          <w:tcPr>
            <w:tcW w:type="dxa" w:w="2160"/>
          </w:tcPr>
          <w:p>
            <w:r>
              <w:t>Balance reconciliation within tolerance</w:t>
            </w:r>
          </w:p>
        </w:tc>
        <w:tc>
          <w:tcPr>
            <w:tcW w:type="dxa" w:w="2160"/>
          </w:tcPr>
          <w:p>
            <w:r>
              <w:t>Data Steward</w:t>
            </w:r>
          </w:p>
        </w:tc>
        <w:tc>
          <w:tcPr>
            <w:tcW w:type="dxa" w:w="2160"/>
          </w:tcPr>
          <w:p>
            <w:r>
              <w:t>Reconciliation workbook</w:t>
            </w:r>
          </w:p>
        </w:tc>
        <w:tc>
          <w:tcPr>
            <w:tcW w:type="dxa" w:w="2160"/>
          </w:tcPr>
          <w:p>
            <w:r/>
          </w:p>
        </w:tc>
      </w:tr>
      <w:tr>
        <w:trPr>
          <w:cantSplit/>
        </w:trPr>
        <w:tc>
          <w:tcPr>
            <w:tcW w:type="dxa" w:w="2160"/>
          </w:tcPr>
          <w:p>
            <w:r>
              <w:t>Scenario set selected and weights confirmed</w:t>
            </w:r>
          </w:p>
        </w:tc>
        <w:tc>
          <w:tcPr>
            <w:tcW w:type="dxa" w:w="2160"/>
          </w:tcPr>
          <w:p>
            <w:r>
              <w:t>Finance Reviewer</w:t>
            </w:r>
          </w:p>
        </w:tc>
        <w:tc>
          <w:tcPr>
            <w:tcW w:type="dxa" w:w="2160"/>
          </w:tcPr>
          <w:p>
            <w:r>
              <w:t>Scenario memo / approval</w:t>
            </w:r>
          </w:p>
        </w:tc>
        <w:tc>
          <w:tcPr>
            <w:tcW w:type="dxa" w:w="2160"/>
          </w:tcPr>
          <w:p>
            <w:r/>
          </w:p>
        </w:tc>
      </w:tr>
      <w:tr>
        <w:trPr>
          <w:cantSplit/>
        </w:trPr>
        <w:tc>
          <w:tcPr>
            <w:tcW w:type="dxa" w:w="2160"/>
          </w:tcPr>
          <w:p>
            <w:r>
              <w:t>Run controls configured (as_of_date, run mode)</w:t>
            </w:r>
          </w:p>
        </w:tc>
        <w:tc>
          <w:tcPr>
            <w:tcW w:type="dxa" w:w="2160"/>
          </w:tcPr>
          <w:p>
            <w:r>
              <w:t>Run Operator</w:t>
            </w:r>
          </w:p>
        </w:tc>
        <w:tc>
          <w:tcPr>
            <w:tcW w:type="dxa" w:w="2160"/>
          </w:tcPr>
          <w:p>
            <w:r>
              <w:t>Config snapshot export</w:t>
            </w:r>
          </w:p>
        </w:tc>
        <w:tc>
          <w:tcPr>
            <w:tcW w:type="dxa" w:w="2160"/>
          </w:tcPr>
          <w:p>
            <w:r/>
          </w:p>
        </w:tc>
      </w:tr>
      <w:tr>
        <w:trPr>
          <w:cantSplit/>
        </w:trPr>
        <w:tc>
          <w:tcPr>
            <w:tcW w:type="dxa" w:w="2160"/>
          </w:tcPr>
          <w:p>
            <w:r>
              <w:t>Change freeze confirmed (no pending deployments)</w:t>
            </w:r>
          </w:p>
        </w:tc>
        <w:tc>
          <w:tcPr>
            <w:tcW w:type="dxa" w:w="2160"/>
          </w:tcPr>
          <w:p>
            <w:r>
              <w:t>Platform Admin</w:t>
            </w:r>
          </w:p>
        </w:tc>
        <w:tc>
          <w:tcPr>
            <w:tcW w:type="dxa" w:w="2160"/>
          </w:tcPr>
          <w:p>
            <w:r>
              <w:t>Change calendar entry</w:t>
            </w:r>
          </w:p>
        </w:tc>
        <w:tc>
          <w:tcPr>
            <w:tcW w:type="dxa" w:w="2160"/>
          </w:tcPr>
          <w:p>
            <w:r/>
          </w:p>
        </w:tc>
      </w:tr>
    </w:tbl>
    <w:p>
      <w:r>
        <w:br w:type="page"/>
      </w:r>
    </w:p>
    <w:p>
      <w:pPr>
        <w:pStyle w:val="Heading1"/>
      </w:pPr>
      <w:r>
        <w:t>7. Model Execution Procedure (Standard Run)</w:t>
      </w:r>
    </w:p>
    <w:p>
      <w:pPr>
        <w:pStyle w:val="BodyText"/>
      </w:pPr>
      <w:r>
        <w:t>A standard run executes the configured CECL Suite with no overlays beyond pre-approved configuration. Execution is job-orchestrated and produces an output package with deterministic identifiers.</w:t>
      </w:r>
    </w:p>
    <w:p>
      <w:pPr>
        <w:pStyle w:val="Heading2"/>
      </w:pPr>
      <w:r>
        <w:t>7.1 Job Orchestration</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Job ID</w:t>
            </w:r>
          </w:p>
        </w:tc>
        <w:tc>
          <w:tcPr>
            <w:tcW w:type="dxa" w:w="1728"/>
          </w:tcPr>
          <w:p>
            <w:r>
              <w:t>Name</w:t>
            </w:r>
          </w:p>
        </w:tc>
        <w:tc>
          <w:tcPr>
            <w:tcW w:type="dxa" w:w="1728"/>
          </w:tcPr>
          <w:p>
            <w:r>
              <w:t>Description</w:t>
            </w:r>
          </w:p>
        </w:tc>
        <w:tc>
          <w:tcPr>
            <w:tcW w:type="dxa" w:w="1728"/>
          </w:tcPr>
          <w:p>
            <w:r>
              <w:t>Success Criteria</w:t>
            </w:r>
          </w:p>
        </w:tc>
        <w:tc>
          <w:tcPr>
            <w:tcW w:type="dxa" w:w="1728"/>
          </w:tcPr>
          <w:p>
            <w:r>
              <w:t>Dependencies</w:t>
            </w:r>
          </w:p>
        </w:tc>
      </w:tr>
      <w:tr>
        <w:trPr>
          <w:cantSplit/>
        </w:trPr>
        <w:tc>
          <w:tcPr>
            <w:tcW w:type="dxa" w:w="1728"/>
          </w:tcPr>
          <w:p>
            <w:r>
              <w:t>JOB-100</w:t>
            </w:r>
          </w:p>
        </w:tc>
        <w:tc>
          <w:tcPr>
            <w:tcW w:type="dxa" w:w="1728"/>
          </w:tcPr>
          <w:p>
            <w:r>
              <w:t>Load &amp; Validate</w:t>
            </w:r>
          </w:p>
        </w:tc>
        <w:tc>
          <w:tcPr>
            <w:tcW w:type="dxa" w:w="1728"/>
          </w:tcPr>
          <w:p>
            <w:r>
              <w:t>Load staging tables; validate schema; checksums</w:t>
            </w:r>
          </w:p>
        </w:tc>
        <w:tc>
          <w:tcPr>
            <w:tcW w:type="dxa" w:w="1728"/>
          </w:tcPr>
          <w:p>
            <w:r>
              <w:t>Success</w:t>
            </w:r>
          </w:p>
        </w:tc>
        <w:tc>
          <w:tcPr>
            <w:tcW w:type="dxa" w:w="1728"/>
          </w:tcPr>
          <w:p>
            <w:r>
              <w:t>None</w:t>
            </w:r>
          </w:p>
        </w:tc>
      </w:tr>
      <w:tr>
        <w:trPr>
          <w:cantSplit/>
        </w:trPr>
        <w:tc>
          <w:tcPr>
            <w:tcW w:type="dxa" w:w="1728"/>
          </w:tcPr>
          <w:p>
            <w:r>
              <w:t>JOB-200</w:t>
            </w:r>
          </w:p>
        </w:tc>
        <w:tc>
          <w:tcPr>
            <w:tcW w:type="dxa" w:w="1728"/>
          </w:tcPr>
          <w:p>
            <w:r>
              <w:t>Transform to Canonical</w:t>
            </w:r>
          </w:p>
        </w:tc>
        <w:tc>
          <w:tcPr>
            <w:tcW w:type="dxa" w:w="1728"/>
          </w:tcPr>
          <w:p>
            <w:r>
              <w:t>Apply mapping rules; generate Northstar DM tables</w:t>
            </w:r>
          </w:p>
        </w:tc>
        <w:tc>
          <w:tcPr>
            <w:tcW w:type="dxa" w:w="1728"/>
          </w:tcPr>
          <w:p>
            <w:r>
              <w:t>Success</w:t>
            </w:r>
          </w:p>
        </w:tc>
        <w:tc>
          <w:tcPr>
            <w:tcW w:type="dxa" w:w="1728"/>
          </w:tcPr>
          <w:p>
            <w:r>
              <w:t>JOB-100</w:t>
            </w:r>
          </w:p>
        </w:tc>
      </w:tr>
      <w:tr>
        <w:trPr>
          <w:cantSplit/>
        </w:trPr>
        <w:tc>
          <w:tcPr>
            <w:tcW w:type="dxa" w:w="1728"/>
          </w:tcPr>
          <w:p>
            <w:r>
              <w:t>JOB-300</w:t>
            </w:r>
          </w:p>
        </w:tc>
        <w:tc>
          <w:tcPr>
            <w:tcW w:type="dxa" w:w="1728"/>
          </w:tcPr>
          <w:p>
            <w:r>
              <w:t>QC Rules Engine</w:t>
            </w:r>
          </w:p>
        </w:tc>
        <w:tc>
          <w:tcPr>
            <w:tcW w:type="dxa" w:w="1728"/>
          </w:tcPr>
          <w:p>
            <w:r>
              <w:t>Execute QC catalog; generate gate report</w:t>
            </w:r>
          </w:p>
        </w:tc>
        <w:tc>
          <w:tcPr>
            <w:tcW w:type="dxa" w:w="1728"/>
          </w:tcPr>
          <w:p>
            <w:r>
              <w:t>Gate Pass</w:t>
            </w:r>
          </w:p>
        </w:tc>
        <w:tc>
          <w:tcPr>
            <w:tcW w:type="dxa" w:w="1728"/>
          </w:tcPr>
          <w:p>
            <w:r>
              <w:t>JOB-200</w:t>
            </w:r>
          </w:p>
        </w:tc>
      </w:tr>
      <w:tr>
        <w:trPr>
          <w:cantSplit/>
        </w:trPr>
        <w:tc>
          <w:tcPr>
            <w:tcW w:type="dxa" w:w="1728"/>
          </w:tcPr>
          <w:p>
            <w:r>
              <w:t>JOB-400</w:t>
            </w:r>
          </w:p>
        </w:tc>
        <w:tc>
          <w:tcPr>
            <w:tcW w:type="dxa" w:w="1728"/>
          </w:tcPr>
          <w:p>
            <w:r>
              <w:t>Model Compute</w:t>
            </w:r>
          </w:p>
        </w:tc>
        <w:tc>
          <w:tcPr>
            <w:tcW w:type="dxa" w:w="1728"/>
          </w:tcPr>
          <w:p>
            <w:r>
              <w:t>Run component models and lifetime projection</w:t>
            </w:r>
          </w:p>
        </w:tc>
        <w:tc>
          <w:tcPr>
            <w:tcW w:type="dxa" w:w="1728"/>
          </w:tcPr>
          <w:p>
            <w:r>
              <w:t>Success</w:t>
            </w:r>
          </w:p>
        </w:tc>
        <w:tc>
          <w:tcPr>
            <w:tcW w:type="dxa" w:w="1728"/>
          </w:tcPr>
          <w:p>
            <w:r>
              <w:t>JOB-300</w:t>
            </w:r>
          </w:p>
        </w:tc>
      </w:tr>
      <w:tr>
        <w:trPr>
          <w:cantSplit/>
        </w:trPr>
        <w:tc>
          <w:tcPr>
            <w:tcW w:type="dxa" w:w="1728"/>
          </w:tcPr>
          <w:p>
            <w:r>
              <w:t>JOB-500</w:t>
            </w:r>
          </w:p>
        </w:tc>
        <w:tc>
          <w:tcPr>
            <w:tcW w:type="dxa" w:w="1728"/>
          </w:tcPr>
          <w:p>
            <w:r>
              <w:t>Post-run QC</w:t>
            </w:r>
          </w:p>
        </w:tc>
        <w:tc>
          <w:tcPr>
            <w:tcW w:type="dxa" w:w="1728"/>
          </w:tcPr>
          <w:p>
            <w:r>
              <w:t>Output sanity checks; variance checks vs prior run</w:t>
            </w:r>
          </w:p>
        </w:tc>
        <w:tc>
          <w:tcPr>
            <w:tcW w:type="dxa" w:w="1728"/>
          </w:tcPr>
          <w:p>
            <w:r>
              <w:t>Pass/Review</w:t>
            </w:r>
          </w:p>
        </w:tc>
        <w:tc>
          <w:tcPr>
            <w:tcW w:type="dxa" w:w="1728"/>
          </w:tcPr>
          <w:p>
            <w:r>
              <w:t>JOB-400</w:t>
            </w:r>
          </w:p>
        </w:tc>
      </w:tr>
      <w:tr>
        <w:trPr>
          <w:cantSplit/>
        </w:trPr>
        <w:tc>
          <w:tcPr>
            <w:tcW w:type="dxa" w:w="1728"/>
          </w:tcPr>
          <w:p>
            <w:r>
              <w:t>JOB-600</w:t>
            </w:r>
          </w:p>
        </w:tc>
        <w:tc>
          <w:tcPr>
            <w:tcW w:type="dxa" w:w="1728"/>
          </w:tcPr>
          <w:p>
            <w:r>
              <w:t>Exports</w:t>
            </w:r>
          </w:p>
        </w:tc>
        <w:tc>
          <w:tcPr>
            <w:tcW w:type="dxa" w:w="1728"/>
          </w:tcPr>
          <w:p>
            <w:r>
              <w:t>Generate exports and reporting dataset</w:t>
            </w:r>
          </w:p>
        </w:tc>
        <w:tc>
          <w:tcPr>
            <w:tcW w:type="dxa" w:w="1728"/>
          </w:tcPr>
          <w:p>
            <w:r>
              <w:t>Success</w:t>
            </w:r>
          </w:p>
        </w:tc>
        <w:tc>
          <w:tcPr>
            <w:tcW w:type="dxa" w:w="1728"/>
          </w:tcPr>
          <w:p>
            <w:r>
              <w:t>JOB-500</w:t>
            </w:r>
          </w:p>
        </w:tc>
      </w:tr>
      <w:tr>
        <w:trPr>
          <w:cantSplit/>
        </w:trPr>
        <w:tc>
          <w:tcPr>
            <w:tcW w:type="dxa" w:w="1728"/>
          </w:tcPr>
          <w:p>
            <w:r>
              <w:t>JOB-700</w:t>
            </w:r>
          </w:p>
        </w:tc>
        <w:tc>
          <w:tcPr>
            <w:tcW w:type="dxa" w:w="1728"/>
          </w:tcPr>
          <w:p>
            <w:r>
              <w:t>Archive</w:t>
            </w:r>
          </w:p>
        </w:tc>
        <w:tc>
          <w:tcPr>
            <w:tcW w:type="dxa" w:w="1728"/>
          </w:tcPr>
          <w:p>
            <w:r>
              <w:t>Seal evidence bundle; store to audit vault</w:t>
            </w:r>
          </w:p>
        </w:tc>
        <w:tc>
          <w:tcPr>
            <w:tcW w:type="dxa" w:w="1728"/>
          </w:tcPr>
          <w:p>
            <w:r>
              <w:t>Success</w:t>
            </w:r>
          </w:p>
        </w:tc>
        <w:tc>
          <w:tcPr>
            <w:tcW w:type="dxa" w:w="1728"/>
          </w:tcPr>
          <w:p>
            <w:r>
              <w:t>JOB-600</w:t>
            </w:r>
          </w:p>
        </w:tc>
      </w:tr>
    </w:tbl>
    <w:p>
      <w:pPr>
        <w:pStyle w:val="Heading2"/>
      </w:pPr>
      <w:r>
        <w:t>7.2 Standard Run Steps</w:t>
      </w:r>
    </w:p>
    <w:p>
      <w:pPr>
        <w:pStyle w:val="ListNumber"/>
      </w:pPr>
      <w:r>
        <w:t>Confirm Gate C completion (reconciliations).</w:t>
      </w:r>
    </w:p>
    <w:p>
      <w:pPr>
        <w:pStyle w:val="ListNumber"/>
      </w:pPr>
      <w:r>
        <w:t>Set RUN_CONTROL parameters: as_of_date, scenario_set, run_type=STANDARD, export_profile.</w:t>
      </w:r>
    </w:p>
    <w:p>
      <w:pPr>
        <w:pStyle w:val="ListNumber"/>
      </w:pPr>
      <w:r>
        <w:t>Start JOB-400 (Model Compute) via orchestration console; record start time.</w:t>
      </w:r>
    </w:p>
    <w:p>
      <w:pPr>
        <w:pStyle w:val="ListNumber"/>
      </w:pPr>
      <w:r>
        <w:t>Monitor job status and resource utilization; capture completion time and run_id.</w:t>
      </w:r>
    </w:p>
    <w:p>
      <w:pPr>
        <w:pStyle w:val="ListNumber"/>
      </w:pPr>
      <w:r>
        <w:t>Review JOB-500 output QC summary; route any High findings to Data Steward/Finance Reviewer.</w:t>
      </w:r>
    </w:p>
    <w:p>
      <w:pPr>
        <w:pStyle w:val="ListNumber"/>
      </w:pPr>
      <w:r>
        <w:t>If acceptable, execute JOB-600 exports; generate output package checksums.</w:t>
      </w:r>
    </w:p>
    <w:p>
      <w:pPr>
        <w:pStyle w:val="ListNumber"/>
      </w:pPr>
      <w:r>
        <w:t>Proceed to Gate E sign-off and JOB-700 archive.</w:t>
      </w:r>
    </w:p>
    <w:p>
      <w:pPr>
        <w:pStyle w:val="Heading2"/>
      </w:pPr>
      <w:r>
        <w:t>7.3 Console Commands (Illustrative Only)</w:t>
      </w:r>
    </w:p>
    <w:p>
      <w:pPr>
        <w:pStyle w:val="BodyText"/>
      </w:pPr>
      <w:r>
        <w:t>Some deployments support command-line invocation for automation. The following is illustrative and may differ by implementation.</w:t>
      </w:r>
    </w:p>
    <w:p>
      <w:pPr>
        <w:pStyle w:val="BodyText"/>
      </w:pPr>
      <w:r>
        <w:rPr>
          <w:rFonts w:ascii="Consolas" w:hAnsi="Consolas"/>
          <w:sz w:val="20"/>
        </w:rPr>
        <w:t>ceclctl run start --as_of_date 2026-01-31 --scenario_set 2026Q1_ForecastSet_A --run_type STANDARD</w:t>
      </w:r>
    </w:p>
    <w:p>
      <w:pPr>
        <w:pStyle w:val="BodyText"/>
      </w:pPr>
      <w:r>
        <w:rPr>
          <w:rFonts w:ascii="Consolas" w:hAnsi="Consolas"/>
          <w:sz w:val="20"/>
        </w:rPr>
        <w:t>ceclctl run status --run_id 2026Q1_SRB_00052</w:t>
      </w:r>
    </w:p>
    <w:p>
      <w:pPr>
        <w:pStyle w:val="BodyText"/>
      </w:pPr>
      <w:r>
        <w:rPr>
          <w:rFonts w:ascii="Consolas" w:hAnsi="Consolas"/>
          <w:sz w:val="20"/>
        </w:rPr>
        <w:t>ceclctl export generate --run_id 2026Q1_SRB_00052 --profile FINANCE_CLOSE</w:t>
      </w:r>
    </w:p>
    <w:p>
      <w:r>
        <w:br w:type="page"/>
      </w:r>
    </w:p>
    <w:p>
      <w:pPr>
        <w:pStyle w:val="Heading1"/>
      </w:pPr>
      <w:r>
        <w:t>8. Post-Run Checks, QC, and Reconciliations</w:t>
      </w:r>
    </w:p>
    <w:p>
      <w:pPr>
        <w:pStyle w:val="Heading2"/>
      </w:pPr>
      <w:r>
        <w:t>8.1 Output Sanity Checks (Automated)</w:t>
      </w:r>
    </w:p>
    <w:p>
      <w:pPr>
        <w:pStyle w:val="ListBullet"/>
      </w:pPr>
      <w:r>
        <w:t>Completeness: all expected segments present; instrument counts within tolerance vs input.</w:t>
      </w:r>
    </w:p>
    <w:p>
      <w:pPr>
        <w:pStyle w:val="ListBullet"/>
      </w:pPr>
      <w:r>
        <w:t>Reasonableness: ECL totals within configured variance bands vs prior period unless explained.</w:t>
      </w:r>
    </w:p>
    <w:p>
      <w:pPr>
        <w:pStyle w:val="ListBullet"/>
      </w:pPr>
      <w:r>
        <w:t>No negative ECL for assets unless explicitly allowed.</w:t>
      </w:r>
    </w:p>
    <w:p>
      <w:pPr>
        <w:pStyle w:val="ListBullet"/>
      </w:pPr>
      <w:r>
        <w:t>Discount factors monotonic decreasing; term structures valid.</w:t>
      </w:r>
    </w:p>
    <w:p>
      <w:pPr>
        <w:pStyle w:val="ListBullet"/>
      </w:pPr>
      <w:r>
        <w:t>Scenario weights sum to 1.0; identifiers match approved memo.</w:t>
      </w:r>
    </w:p>
    <w:p>
      <w:pPr>
        <w:pStyle w:val="Heading2"/>
      </w:pPr>
      <w:r>
        <w:t>8.2 Variance Diagnostics (Example)</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Segment</w:t>
            </w:r>
          </w:p>
        </w:tc>
        <w:tc>
          <w:tcPr>
            <w:tcW w:type="dxa" w:w="1728"/>
          </w:tcPr>
          <w:p>
            <w:r>
              <w:t>Prior ECL</w:t>
            </w:r>
          </w:p>
        </w:tc>
        <w:tc>
          <w:tcPr>
            <w:tcW w:type="dxa" w:w="1728"/>
          </w:tcPr>
          <w:p>
            <w:r>
              <w:t>Current ECL</w:t>
            </w:r>
          </w:p>
        </w:tc>
        <w:tc>
          <w:tcPr>
            <w:tcW w:type="dxa" w:w="1728"/>
          </w:tcPr>
          <w:p>
            <w:r>
              <w:t>% Change</w:t>
            </w:r>
          </w:p>
        </w:tc>
        <w:tc>
          <w:tcPr>
            <w:tcW w:type="dxa" w:w="1728"/>
          </w:tcPr>
          <w:p>
            <w:r>
              <w:t>Driver Notes (to complete)</w:t>
            </w:r>
          </w:p>
        </w:tc>
      </w:tr>
      <w:tr>
        <w:trPr>
          <w:cantSplit/>
        </w:trPr>
        <w:tc>
          <w:tcPr>
            <w:tcW w:type="dxa" w:w="1728"/>
          </w:tcPr>
          <w:p>
            <w:r>
              <w:t>Auto - Prime</w:t>
            </w:r>
          </w:p>
        </w:tc>
        <w:tc>
          <w:tcPr>
            <w:tcW w:type="dxa" w:w="1728"/>
          </w:tcPr>
          <w:p>
            <w:r>
              <w:t>$12.4MM</w:t>
            </w:r>
          </w:p>
        </w:tc>
        <w:tc>
          <w:tcPr>
            <w:tcW w:type="dxa" w:w="1728"/>
          </w:tcPr>
          <w:p>
            <w:r>
              <w:t>$12.9MM</w:t>
            </w:r>
          </w:p>
        </w:tc>
        <w:tc>
          <w:tcPr>
            <w:tcW w:type="dxa" w:w="1728"/>
          </w:tcPr>
          <w:p>
            <w:r>
              <w:t>+4.0%</w:t>
            </w:r>
          </w:p>
        </w:tc>
        <w:tc>
          <w:tcPr>
            <w:tcW w:type="dxa" w:w="1728"/>
          </w:tcPr>
          <w:p>
            <w:r>
              <w:t>Higher balance + mild PD increase</w:t>
            </w:r>
          </w:p>
        </w:tc>
      </w:tr>
      <w:tr>
        <w:trPr>
          <w:cantSplit/>
        </w:trPr>
        <w:tc>
          <w:tcPr>
            <w:tcW w:type="dxa" w:w="1728"/>
          </w:tcPr>
          <w:p>
            <w:r>
              <w:t>Auto - Near Prime</w:t>
            </w:r>
          </w:p>
        </w:tc>
        <w:tc>
          <w:tcPr>
            <w:tcW w:type="dxa" w:w="1728"/>
          </w:tcPr>
          <w:p>
            <w:r>
              <w:t>$9.1MM</w:t>
            </w:r>
          </w:p>
        </w:tc>
        <w:tc>
          <w:tcPr>
            <w:tcW w:type="dxa" w:w="1728"/>
          </w:tcPr>
          <w:p>
            <w:r>
              <w:t>$10.0MM</w:t>
            </w:r>
          </w:p>
        </w:tc>
        <w:tc>
          <w:tcPr>
            <w:tcW w:type="dxa" w:w="1728"/>
          </w:tcPr>
          <w:p>
            <w:r>
              <w:t>+9.9%</w:t>
            </w:r>
          </w:p>
        </w:tc>
        <w:tc>
          <w:tcPr>
            <w:tcW w:type="dxa" w:w="1728"/>
          </w:tcPr>
          <w:p>
            <w:r>
              <w:t>Scenario unemployment higher</w:t>
            </w:r>
          </w:p>
        </w:tc>
      </w:tr>
      <w:tr>
        <w:trPr>
          <w:cantSplit/>
        </w:trPr>
        <w:tc>
          <w:tcPr>
            <w:tcW w:type="dxa" w:w="1728"/>
          </w:tcPr>
          <w:p>
            <w:r>
              <w:t>Credit Card - Prime</w:t>
            </w:r>
          </w:p>
        </w:tc>
        <w:tc>
          <w:tcPr>
            <w:tcW w:type="dxa" w:w="1728"/>
          </w:tcPr>
          <w:p>
            <w:r>
              <w:t>$18.2MM</w:t>
            </w:r>
          </w:p>
        </w:tc>
        <w:tc>
          <w:tcPr>
            <w:tcW w:type="dxa" w:w="1728"/>
          </w:tcPr>
          <w:p>
            <w:r>
              <w:t>$17.8MM</w:t>
            </w:r>
          </w:p>
        </w:tc>
        <w:tc>
          <w:tcPr>
            <w:tcW w:type="dxa" w:w="1728"/>
          </w:tcPr>
          <w:p>
            <w:r>
              <w:t>-2.2%</w:t>
            </w:r>
          </w:p>
        </w:tc>
        <w:tc>
          <w:tcPr>
            <w:tcW w:type="dxa" w:w="1728"/>
          </w:tcPr>
          <w:p>
            <w:r>
              <w:t>Higher paydowns; utilization lower</w:t>
            </w:r>
          </w:p>
        </w:tc>
      </w:tr>
      <w:tr>
        <w:trPr>
          <w:cantSplit/>
        </w:trPr>
        <w:tc>
          <w:tcPr>
            <w:tcW w:type="dxa" w:w="1728"/>
          </w:tcPr>
          <w:p>
            <w:r>
              <w:t>Credit Card - Subprime</w:t>
            </w:r>
          </w:p>
        </w:tc>
        <w:tc>
          <w:tcPr>
            <w:tcW w:type="dxa" w:w="1728"/>
          </w:tcPr>
          <w:p>
            <w:r>
              <w:t>$21.5MM</w:t>
            </w:r>
          </w:p>
        </w:tc>
        <w:tc>
          <w:tcPr>
            <w:tcW w:type="dxa" w:w="1728"/>
          </w:tcPr>
          <w:p>
            <w:r>
              <w:t>$23.6MM</w:t>
            </w:r>
          </w:p>
        </w:tc>
        <w:tc>
          <w:tcPr>
            <w:tcW w:type="dxa" w:w="1728"/>
          </w:tcPr>
          <w:p>
            <w:r>
              <w:t>+9.8%</w:t>
            </w:r>
          </w:p>
        </w:tc>
        <w:tc>
          <w:tcPr>
            <w:tcW w:type="dxa" w:w="1728"/>
          </w:tcPr>
          <w:p>
            <w:r>
              <w:t>PD uplift; delinquency drift</w:t>
            </w:r>
          </w:p>
        </w:tc>
      </w:tr>
      <w:tr>
        <w:trPr>
          <w:cantSplit/>
        </w:trPr>
        <w:tc>
          <w:tcPr>
            <w:tcW w:type="dxa" w:w="1728"/>
          </w:tcPr>
          <w:p>
            <w:r>
              <w:t>HELOC</w:t>
            </w:r>
          </w:p>
        </w:tc>
        <w:tc>
          <w:tcPr>
            <w:tcW w:type="dxa" w:w="1728"/>
          </w:tcPr>
          <w:p>
            <w:r>
              <w:t>$6.3MM</w:t>
            </w:r>
          </w:p>
        </w:tc>
        <w:tc>
          <w:tcPr>
            <w:tcW w:type="dxa" w:w="1728"/>
          </w:tcPr>
          <w:p>
            <w:r>
              <w:t>$6.0MM</w:t>
            </w:r>
          </w:p>
        </w:tc>
        <w:tc>
          <w:tcPr>
            <w:tcW w:type="dxa" w:w="1728"/>
          </w:tcPr>
          <w:p>
            <w:r>
              <w:t>-4.8%</w:t>
            </w:r>
          </w:p>
        </w:tc>
        <w:tc>
          <w:tcPr>
            <w:tcW w:type="dxa" w:w="1728"/>
          </w:tcPr>
          <w:p>
            <w:r>
              <w:t>HPI path improved; collateral values higher</w:t>
            </w:r>
          </w:p>
        </w:tc>
      </w:tr>
    </w:tbl>
    <w:p>
      <w:pPr>
        <w:pStyle w:val="Heading2"/>
      </w:pPr>
      <w:r>
        <w:t>8.3 Reconciliations (Finance Close)</w:t>
      </w:r>
    </w:p>
    <w:p>
      <w:pPr>
        <w:pStyle w:val="ListBullet"/>
      </w:pPr>
      <w:r>
        <w:t>Tie ECL totals to allowance rollforward workbook and GL posting amounts (where applicable).</w:t>
      </w:r>
    </w:p>
    <w:p>
      <w:pPr>
        <w:pStyle w:val="ListBullet"/>
      </w:pPr>
      <w:r>
        <w:t>Confirm portfolio totals align to reporting hierarchy and exclude sold/held-for-sale per policy.</w:t>
      </w:r>
    </w:p>
    <w:p>
      <w:pPr>
        <w:pStyle w:val="ListBullet"/>
      </w:pPr>
      <w:r>
        <w:t>Retain variance commentary and approvals as part of evidence bundle.</w:t>
      </w:r>
    </w:p>
    <w:p>
      <w:pPr>
        <w:pStyle w:val="Heading2"/>
      </w:pPr>
      <w:r>
        <w:t>8.4 Evidence Bundle Contents (Minimum)</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Artifact</w:t>
            </w:r>
          </w:p>
        </w:tc>
        <w:tc>
          <w:tcPr>
            <w:tcW w:type="dxa" w:w="2880"/>
          </w:tcPr>
          <w:p>
            <w:r>
              <w:t>Owner</w:t>
            </w:r>
          </w:p>
        </w:tc>
        <w:tc>
          <w:tcPr>
            <w:tcW w:type="dxa" w:w="2880"/>
          </w:tcPr>
          <w:p>
            <w:r>
              <w:t>Storage Location</w:t>
            </w:r>
          </w:p>
        </w:tc>
      </w:tr>
      <w:tr>
        <w:trPr>
          <w:cantSplit/>
        </w:trPr>
        <w:tc>
          <w:tcPr>
            <w:tcW w:type="dxa" w:w="2880"/>
          </w:tcPr>
          <w:p>
            <w:r>
              <w:t>Input file checksums + intake logs</w:t>
            </w:r>
          </w:p>
        </w:tc>
        <w:tc>
          <w:tcPr>
            <w:tcW w:type="dxa" w:w="2880"/>
          </w:tcPr>
          <w:p>
            <w:r>
              <w:t>Run Operator</w:t>
            </w:r>
          </w:p>
        </w:tc>
        <w:tc>
          <w:tcPr>
            <w:tcW w:type="dxa" w:w="2880"/>
          </w:tcPr>
          <w:p>
            <w:r>
              <w:t>Audit Vault /inputs</w:t>
            </w:r>
          </w:p>
        </w:tc>
      </w:tr>
      <w:tr>
        <w:trPr>
          <w:cantSplit/>
        </w:trPr>
        <w:tc>
          <w:tcPr>
            <w:tcW w:type="dxa" w:w="2880"/>
          </w:tcPr>
          <w:p>
            <w:r>
              <w:t>QC report (critical/high findings)</w:t>
            </w:r>
          </w:p>
        </w:tc>
        <w:tc>
          <w:tcPr>
            <w:tcW w:type="dxa" w:w="2880"/>
          </w:tcPr>
          <w:p>
            <w:r>
              <w:t>Data Steward</w:t>
            </w:r>
          </w:p>
        </w:tc>
        <w:tc>
          <w:tcPr>
            <w:tcW w:type="dxa" w:w="2880"/>
          </w:tcPr>
          <w:p>
            <w:r>
              <w:t>Audit Vault /qc</w:t>
            </w:r>
          </w:p>
        </w:tc>
      </w:tr>
      <w:tr>
        <w:trPr>
          <w:cantSplit/>
        </w:trPr>
        <w:tc>
          <w:tcPr>
            <w:tcW w:type="dxa" w:w="2880"/>
          </w:tcPr>
          <w:p>
            <w:r>
              <w:t>Reconciliation workbook (balances, CO, recov)</w:t>
            </w:r>
          </w:p>
        </w:tc>
        <w:tc>
          <w:tcPr>
            <w:tcW w:type="dxa" w:w="2880"/>
          </w:tcPr>
          <w:p>
            <w:r>
              <w:t>Data Steward</w:t>
            </w:r>
          </w:p>
        </w:tc>
        <w:tc>
          <w:tcPr>
            <w:tcW w:type="dxa" w:w="2880"/>
          </w:tcPr>
          <w:p>
            <w:r>
              <w:t>Client repository + audit vault copy</w:t>
            </w:r>
          </w:p>
        </w:tc>
      </w:tr>
      <w:tr>
        <w:trPr>
          <w:cantSplit/>
        </w:trPr>
        <w:tc>
          <w:tcPr>
            <w:tcW w:type="dxa" w:w="2880"/>
          </w:tcPr>
          <w:p>
            <w:r>
              <w:t>Configuration snapshot (RUN_CONTROL, scenario set)</w:t>
            </w:r>
          </w:p>
        </w:tc>
        <w:tc>
          <w:tcPr>
            <w:tcW w:type="dxa" w:w="2880"/>
          </w:tcPr>
          <w:p>
            <w:r>
              <w:t>Run Operator</w:t>
            </w:r>
          </w:p>
        </w:tc>
        <w:tc>
          <w:tcPr>
            <w:tcW w:type="dxa" w:w="2880"/>
          </w:tcPr>
          <w:p>
            <w:r>
              <w:t>Audit Vault /config</w:t>
            </w:r>
          </w:p>
        </w:tc>
      </w:tr>
      <w:tr>
        <w:trPr>
          <w:cantSplit/>
        </w:trPr>
        <w:tc>
          <w:tcPr>
            <w:tcW w:type="dxa" w:w="2880"/>
          </w:tcPr>
          <w:p>
            <w:r>
              <w:t>Run metadata + job logs</w:t>
            </w:r>
          </w:p>
        </w:tc>
        <w:tc>
          <w:tcPr>
            <w:tcW w:type="dxa" w:w="2880"/>
          </w:tcPr>
          <w:p>
            <w:r>
              <w:t>Platform Admin</w:t>
            </w:r>
          </w:p>
        </w:tc>
        <w:tc>
          <w:tcPr>
            <w:tcW w:type="dxa" w:w="2880"/>
          </w:tcPr>
          <w:p>
            <w:r>
              <w:t>Audit Vault /logs</w:t>
            </w:r>
          </w:p>
        </w:tc>
      </w:tr>
      <w:tr>
        <w:trPr>
          <w:cantSplit/>
        </w:trPr>
        <w:tc>
          <w:tcPr>
            <w:tcW w:type="dxa" w:w="2880"/>
          </w:tcPr>
          <w:p>
            <w:r>
              <w:t>Output package checksums + exports</w:t>
            </w:r>
          </w:p>
        </w:tc>
        <w:tc>
          <w:tcPr>
            <w:tcW w:type="dxa" w:w="2880"/>
          </w:tcPr>
          <w:p>
            <w:r>
              <w:t>Run Operator</w:t>
            </w:r>
          </w:p>
        </w:tc>
        <w:tc>
          <w:tcPr>
            <w:tcW w:type="dxa" w:w="2880"/>
          </w:tcPr>
          <w:p>
            <w:r>
              <w:t>Audit Vault /outputs</w:t>
            </w:r>
          </w:p>
        </w:tc>
      </w:tr>
      <w:tr>
        <w:trPr>
          <w:cantSplit/>
        </w:trPr>
        <w:tc>
          <w:tcPr>
            <w:tcW w:type="dxa" w:w="2880"/>
          </w:tcPr>
          <w:p>
            <w:r>
              <w:t>Finance sign-off memo</w:t>
            </w:r>
          </w:p>
        </w:tc>
        <w:tc>
          <w:tcPr>
            <w:tcW w:type="dxa" w:w="2880"/>
          </w:tcPr>
          <w:p>
            <w:r>
              <w:t>Finance Reviewer</w:t>
            </w:r>
          </w:p>
        </w:tc>
        <w:tc>
          <w:tcPr>
            <w:tcW w:type="dxa" w:w="2880"/>
          </w:tcPr>
          <w:p>
            <w:r>
              <w:t>Client close package repository</w:t>
            </w:r>
          </w:p>
        </w:tc>
      </w:tr>
    </w:tbl>
    <w:p>
      <w:r>
        <w:br w:type="page"/>
      </w:r>
    </w:p>
    <w:p>
      <w:pPr>
        <w:pStyle w:val="Heading1"/>
      </w:pPr>
      <w:r>
        <w:t>9. Reporting Outputs, Exports, and Distribution</w:t>
      </w:r>
    </w:p>
    <w:p>
      <w:pPr>
        <w:pStyle w:val="Heading2"/>
      </w:pPr>
      <w:r>
        <w:t>9.1 Standard Export Package (FINANCE_CLOSE Profile)</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File</w:t>
            </w:r>
          </w:p>
        </w:tc>
        <w:tc>
          <w:tcPr>
            <w:tcW w:type="dxa" w:w="4320"/>
          </w:tcPr>
          <w:p>
            <w:r>
              <w:t>Description</w:t>
            </w:r>
          </w:p>
        </w:tc>
      </w:tr>
      <w:tr>
        <w:trPr>
          <w:cantSplit/>
        </w:trPr>
        <w:tc>
          <w:tcPr>
            <w:tcW w:type="dxa" w:w="4320"/>
          </w:tcPr>
          <w:p>
            <w:r>
              <w:t>ECL_SUMMARY.csv</w:t>
            </w:r>
          </w:p>
        </w:tc>
        <w:tc>
          <w:tcPr>
            <w:tcW w:type="dxa" w:w="4320"/>
          </w:tcPr>
          <w:p>
            <w:r>
              <w:t>Portfolio/segment totals by scenario and weighted result</w:t>
            </w:r>
          </w:p>
        </w:tc>
      </w:tr>
      <w:tr>
        <w:trPr>
          <w:cantSplit/>
        </w:trPr>
        <w:tc>
          <w:tcPr>
            <w:tcW w:type="dxa" w:w="4320"/>
          </w:tcPr>
          <w:p>
            <w:r>
              <w:t>ECL_DETAIL.csv</w:t>
            </w:r>
          </w:p>
        </w:tc>
        <w:tc>
          <w:tcPr>
            <w:tcW w:type="dxa" w:w="4320"/>
          </w:tcPr>
          <w:p>
            <w:r>
              <w:t>Instrument-level ECL (or account-level depending on config)</w:t>
            </w:r>
          </w:p>
        </w:tc>
      </w:tr>
      <w:tr>
        <w:trPr>
          <w:cantSplit/>
        </w:trPr>
        <w:tc>
          <w:tcPr>
            <w:tcW w:type="dxa" w:w="4320"/>
          </w:tcPr>
          <w:p>
            <w:r>
              <w:t>ROLLFORWARD.xlsx</w:t>
            </w:r>
          </w:p>
        </w:tc>
        <w:tc>
          <w:tcPr>
            <w:tcW w:type="dxa" w:w="4320"/>
          </w:tcPr>
          <w:p>
            <w:r>
              <w:t>Allowance rollforward support tabs and checks</w:t>
            </w:r>
          </w:p>
        </w:tc>
      </w:tr>
      <w:tr>
        <w:trPr>
          <w:cantSplit/>
        </w:trPr>
        <w:tc>
          <w:tcPr>
            <w:tcW w:type="dxa" w:w="4320"/>
          </w:tcPr>
          <w:p>
            <w:r>
              <w:t>DRIVER_ATTRIBUTION.csv</w:t>
            </w:r>
          </w:p>
        </w:tc>
        <w:tc>
          <w:tcPr>
            <w:tcW w:type="dxa" w:w="4320"/>
          </w:tcPr>
          <w:p>
            <w:r>
              <w:t>Attribution of change vs prior run (balance, PD, LGD, scenario)</w:t>
            </w:r>
          </w:p>
        </w:tc>
      </w:tr>
      <w:tr>
        <w:trPr>
          <w:cantSplit/>
        </w:trPr>
        <w:tc>
          <w:tcPr>
            <w:tcW w:type="dxa" w:w="4320"/>
          </w:tcPr>
          <w:p>
            <w:r>
              <w:t>EXCEPTIONS.csv</w:t>
            </w:r>
          </w:p>
        </w:tc>
        <w:tc>
          <w:tcPr>
            <w:tcW w:type="dxa" w:w="4320"/>
          </w:tcPr>
          <w:p>
            <w:r>
              <w:t>QC exceptions and flagged accounts</w:t>
            </w:r>
          </w:p>
        </w:tc>
      </w:tr>
      <w:tr>
        <w:trPr>
          <w:cantSplit/>
        </w:trPr>
        <w:tc>
          <w:tcPr>
            <w:tcW w:type="dxa" w:w="4320"/>
          </w:tcPr>
          <w:p>
            <w:r>
              <w:t>RUN_METADATA.json</w:t>
            </w:r>
          </w:p>
        </w:tc>
        <w:tc>
          <w:tcPr>
            <w:tcW w:type="dxa" w:w="4320"/>
          </w:tcPr>
          <w:p>
            <w:r>
              <w:t>Configuration and audit metadata snapshot</w:t>
            </w:r>
          </w:p>
        </w:tc>
      </w:tr>
    </w:tbl>
    <w:p>
      <w:pPr>
        <w:pStyle w:val="Heading2"/>
      </w:pPr>
      <w:r>
        <w:t>9.2 Distribution Controls</w:t>
      </w:r>
    </w:p>
    <w:p>
      <w:pPr>
        <w:pStyle w:val="ListBullet"/>
      </w:pPr>
      <w:r>
        <w:t>Export packages are delivered to a restricted client folder with least-privilege access.</w:t>
      </w:r>
    </w:p>
    <w:p>
      <w:pPr>
        <w:pStyle w:val="ListBullet"/>
      </w:pPr>
      <w:r>
        <w:t>Emails contain no data; notifications reference package id and location only.</w:t>
      </w:r>
    </w:p>
    <w:p>
      <w:pPr>
        <w:pStyle w:val="ListBullet"/>
      </w:pPr>
      <w:r>
        <w:t>Checksum file accompanies exports; recipients verify integrity before use.</w:t>
      </w:r>
    </w:p>
    <w:p>
      <w:pPr>
        <w:pStyle w:val="Heading2"/>
      </w:pPr>
      <w:r>
        <w:t>9.3 Governance Reporting Structure, Metrics, and Frequency</w:t>
      </w:r>
    </w:p>
    <w:p>
      <w:pPr>
        <w:pStyle w:val="BodyText"/>
      </w:pPr>
      <w:r>
        <w:t xml:space="preserve">Model outputs and performance metrics are communicated through a tiered reporting structure aligned to the client’s governance calendar. Northstar generates the standard output package (Section 9.1) at each run cycle; the client is responsible for integrating these outputs into its internal reporting structure. The following describes the recommended governance reporting cadence and the key metrics to be reported at each level.</w:t>
      </w:r>
    </w:p>
    <w:p>
      <w:pPr>
        <w:pStyle w:val="BodyText"/>
      </w:pPr>
      <w:r>
        <w:t xml:space="preserve">Monthly (Close Cycle): The Run Operator and Data Steward deliver the completed evidence bundle and run metadata to the Finance Reviewer immediately following Gate E sign-off. The Finance Reviewer prepares the allowance rollforward workbook (ROLLFORWARD.xlsx) and a brief run commentary note documenting: total ECL and period-over-period change; key drivers of change (balance, PD, LGD, scenario, overlay) by major segment based on DRIVER_ATTRIBUTION.csv; any QC exceptions accepted during the run and their resolution; and overlay applied (if any) with approved rationale. This commentary is submitted to the model owner and filed as part of the evidence bundle. For months where the allowance feeds a regulatory filing or earnings disclosure, the Finance Reviewer ensures the GL posting amount is reconciled to the ECL output before sign-off.</w:t>
      </w:r>
    </w:p>
    <w:p>
      <w:pPr>
        <w:pStyle w:val="BodyText"/>
      </w:pPr>
      <w:r>
        <w:t xml:space="preserve">Quarterly (ACL/ALLL Committee): The model owner prepares and presents a quarterly model performance summary to the ACL/ALLL Committee (or equivalent governance body). Recommended KPIs and metrics for this report include: (i) total ECL and ECL coverage ratio by product, compared to prior quarter and prior year; (ii) back-test comparison — modeled vs. realized net charge-off rate by segment for the trailing four quarters; (iii) PSI for key input variables (score bands, utilization, risk grades) vs. development population baseline; (iv) overlay log — active overlays, magnitude, direction, and cumulative impact relative to unadjusted model output; (v) scenario set used and scenario weight rationale; and (vi) any threshold breaches from ongoing monitoring (see Methodology Report Section 11.7) and management response. The quarterly report is also provided to model risk management as input for the ongoing monitoring file.</w:t>
      </w:r>
    </w:p>
    <w:p>
      <w:pPr>
        <w:pStyle w:val="BodyText"/>
      </w:pPr>
      <w:r>
        <w:t xml:space="preserve">Annual (Model Risk Management / Board Risk Committee): An annual comprehensive model performance review is presented to model risk management and, as appropriate, the Board Risk Committee. This review encompasses: out-of-time back-test results across all segments using the most recent four to eight quarters of realized losses; AUC/KS discrimination metrics vs. development benchmarks; a full overlay history with cumulative financial impact; a comparison of ECL coverage ratios to peer institutions and regulatory guidance where available; and a forward-looking assessment of model fitness given changes in portfolio composition, underwriting standards, or macroeconomic regime. The annual review serves as the primary basis for the model re-validation determination and is documented in the annual model monitoring report retained by model risk management.</w:t>
      </w:r>
    </w:p>
    <w:p>
      <w:r>
        <w:br w:type="page"/>
      </w:r>
    </w:p>
    <w:p>
      <w:pPr>
        <w:pStyle w:val="Heading1"/>
      </w:pPr>
      <w:r>
        <w:t>10. Exceptions, Reruns, and Adjusted Runs</w:t>
      </w:r>
    </w:p>
    <w:p>
      <w:pPr>
        <w:pStyle w:val="Heading2"/>
      </w:pPr>
      <w:r>
        <w:t>10.1 When to Rerun</w:t>
      </w:r>
    </w:p>
    <w:p>
      <w:pPr>
        <w:pStyle w:val="ListBullet"/>
      </w:pPr>
      <w:r>
        <w:t>Critical QC failures (missing keys, duplicate snapshots, schema mismatches).</w:t>
      </w:r>
    </w:p>
    <w:p>
      <w:pPr>
        <w:pStyle w:val="ListBullet"/>
      </w:pPr>
      <w:r>
        <w:t>Reconciliations outside tolerance without an approved exception.</w:t>
      </w:r>
    </w:p>
    <w:p>
      <w:pPr>
        <w:pStyle w:val="ListBullet"/>
      </w:pPr>
      <w:r>
        <w:t>Material operational error identified after run (e.g., wrong scenario set selected).</w:t>
      </w:r>
    </w:p>
    <w:p>
      <w:pPr>
        <w:pStyle w:val="ListBullet"/>
      </w:pPr>
      <w:r>
        <w:t>Confirmed platform defect or interrupted job resulting in partial outputs.</w:t>
      </w:r>
    </w:p>
    <w:p>
      <w:pPr>
        <w:pStyle w:val="Heading2"/>
      </w:pPr>
      <w:r>
        <w:t>10.2 Rerun Approval Requirements</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Rerun Type</w:t>
            </w:r>
          </w:p>
        </w:tc>
        <w:tc>
          <w:tcPr>
            <w:tcW w:type="dxa" w:w="2880"/>
          </w:tcPr>
          <w:p>
            <w:r>
              <w:t>Requires Approval From</w:t>
            </w:r>
          </w:p>
        </w:tc>
        <w:tc>
          <w:tcPr>
            <w:tcW w:type="dxa" w:w="2880"/>
          </w:tcPr>
          <w:p>
            <w:r>
              <w:t>Notes</w:t>
            </w:r>
          </w:p>
        </w:tc>
      </w:tr>
      <w:tr>
        <w:trPr>
          <w:cantSplit/>
        </w:trPr>
        <w:tc>
          <w:tcPr>
            <w:tcW w:type="dxa" w:w="2880"/>
          </w:tcPr>
          <w:p>
            <w:r>
              <w:t>Data Fix Rerun</w:t>
            </w:r>
          </w:p>
        </w:tc>
        <w:tc>
          <w:tcPr>
            <w:tcW w:type="dxa" w:w="2880"/>
          </w:tcPr>
          <w:p>
            <w:r>
              <w:t>Data Steward + Finance Reviewer</w:t>
            </w:r>
          </w:p>
        </w:tc>
        <w:tc>
          <w:tcPr>
            <w:tcW w:type="dxa" w:w="2880"/>
          </w:tcPr>
          <w:p>
            <w:r>
              <w:t>Data package re-delivered; mapping unchanged</w:t>
            </w:r>
          </w:p>
        </w:tc>
      </w:tr>
      <w:tr>
        <w:trPr>
          <w:cantSplit/>
        </w:trPr>
        <w:tc>
          <w:tcPr>
            <w:tcW w:type="dxa" w:w="2880"/>
          </w:tcPr>
          <w:p>
            <w:r>
              <w:t>Scenario Change Rerun</w:t>
            </w:r>
          </w:p>
        </w:tc>
        <w:tc>
          <w:tcPr>
            <w:tcW w:type="dxa" w:w="2880"/>
          </w:tcPr>
          <w:p>
            <w:r>
              <w:t>Finance Reviewer + Model Owner</w:t>
            </w:r>
          </w:p>
        </w:tc>
        <w:tc>
          <w:tcPr>
            <w:tcW w:type="dxa" w:w="2880"/>
          </w:tcPr>
          <w:p>
            <w:r>
              <w:t>Document rationale and weights</w:t>
            </w:r>
          </w:p>
        </w:tc>
      </w:tr>
      <w:tr>
        <w:trPr>
          <w:cantSplit/>
        </w:trPr>
        <w:tc>
          <w:tcPr>
            <w:tcW w:type="dxa" w:w="2880"/>
          </w:tcPr>
          <w:p>
            <w:r>
              <w:t>Configuration Change Rerun</w:t>
            </w:r>
          </w:p>
        </w:tc>
        <w:tc>
          <w:tcPr>
            <w:tcW w:type="dxa" w:w="2880"/>
          </w:tcPr>
          <w:p>
            <w:r>
              <w:t>Model Owner + Platform Admin</w:t>
            </w:r>
          </w:p>
        </w:tc>
        <w:tc>
          <w:tcPr>
            <w:tcW w:type="dxa" w:w="2880"/>
          </w:tcPr>
          <w:p>
            <w:r>
              <w:t>Requires change ticket and UAT unless emergency</w:t>
            </w:r>
          </w:p>
        </w:tc>
      </w:tr>
      <w:tr>
        <w:trPr>
          <w:cantSplit/>
        </w:trPr>
        <w:tc>
          <w:tcPr>
            <w:tcW w:type="dxa" w:w="2880"/>
          </w:tcPr>
          <w:p>
            <w:r>
              <w:t>Emergency Hotfix Rerun</w:t>
            </w:r>
          </w:p>
        </w:tc>
        <w:tc>
          <w:tcPr>
            <w:tcW w:type="dxa" w:w="2880"/>
          </w:tcPr>
          <w:p>
            <w:r>
              <w:t>Platform Admin + Model Support</w:t>
            </w:r>
          </w:p>
        </w:tc>
        <w:tc>
          <w:tcPr>
            <w:tcW w:type="dxa" w:w="2880"/>
          </w:tcPr>
          <w:p>
            <w:r>
              <w:t>Break-glass; post-incident review required</w:t>
            </w:r>
          </w:p>
        </w:tc>
      </w:tr>
    </w:tbl>
    <w:p>
      <w:pPr>
        <w:pStyle w:val="Heading2"/>
      </w:pPr>
      <w:r>
        <w:t>10.3 Rerun Procedure (Summary)</w:t>
      </w:r>
    </w:p>
    <w:p>
      <w:pPr>
        <w:pStyle w:val="ListNumber"/>
      </w:pPr>
      <w:r>
        <w:t>Open rerun ticket with root cause, impacted artifacts, and requested resolution.</w:t>
      </w:r>
    </w:p>
    <w:p>
      <w:pPr>
        <w:pStyle w:val="ListNumber"/>
      </w:pPr>
      <w:r>
        <w:t>Freeze distribution of prior outputs; mark package as superseded.</w:t>
      </w:r>
    </w:p>
    <w:p>
      <w:pPr>
        <w:pStyle w:val="ListNumber"/>
      </w:pPr>
      <w:r>
        <w:t>Deliver corrected input or configuration; capture evidence of change.</w:t>
      </w:r>
    </w:p>
    <w:p>
      <w:pPr>
        <w:pStyle w:val="ListNumber"/>
      </w:pPr>
      <w:r>
        <w:t>Execute rerun; compare outputs vs prior; document differences.</w:t>
      </w:r>
    </w:p>
    <w:p>
      <w:pPr>
        <w:pStyle w:val="ListNumber"/>
      </w:pPr>
      <w:r>
        <w:t>Publish final package; archive superseded outputs with rationale.</w:t>
      </w:r>
    </w:p>
    <w:p>
      <w:r>
        <w:br w:type="page"/>
      </w:r>
    </w:p>
    <w:p>
      <w:pPr>
        <w:pStyle w:val="Heading1"/>
      </w:pPr>
      <w:r>
        <w:t>11. Incident Management and Support</w:t>
      </w:r>
    </w:p>
    <w:p>
      <w:pPr>
        <w:pStyle w:val="Heading2"/>
      </w:pPr>
      <w:r>
        <w:t>11.1 Severity Levels (Vendor)</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Severity</w:t>
            </w:r>
          </w:p>
        </w:tc>
        <w:tc>
          <w:tcPr>
            <w:tcW w:type="dxa" w:w="2160"/>
          </w:tcPr>
          <w:p>
            <w:r>
              <w:t>Definition</w:t>
            </w:r>
          </w:p>
        </w:tc>
        <w:tc>
          <w:tcPr>
            <w:tcW w:type="dxa" w:w="2160"/>
          </w:tcPr>
          <w:p>
            <w:r>
              <w:t>Typical Response</w:t>
            </w:r>
          </w:p>
        </w:tc>
        <w:tc>
          <w:tcPr>
            <w:tcW w:type="dxa" w:w="2160"/>
          </w:tcPr>
          <w:p>
            <w:r>
              <w:t>Examples</w:t>
            </w:r>
          </w:p>
        </w:tc>
      </w:tr>
      <w:tr>
        <w:trPr>
          <w:cantSplit/>
        </w:trPr>
        <w:tc>
          <w:tcPr>
            <w:tcW w:type="dxa" w:w="2160"/>
          </w:tcPr>
          <w:p>
            <w:r>
              <w:t>Sev 1</w:t>
            </w:r>
          </w:p>
        </w:tc>
        <w:tc>
          <w:tcPr>
            <w:tcW w:type="dxa" w:w="2160"/>
          </w:tcPr>
          <w:p>
            <w:r>
              <w:t>Production outage; close at risk</w:t>
            </w:r>
          </w:p>
        </w:tc>
        <w:tc>
          <w:tcPr>
            <w:tcW w:type="dxa" w:w="2160"/>
          </w:tcPr>
          <w:p>
            <w:r>
              <w:t>Immediate bridge; hourly updates</w:t>
            </w:r>
          </w:p>
        </w:tc>
        <w:tc>
          <w:tcPr>
            <w:tcW w:type="dxa" w:w="2160"/>
          </w:tcPr>
          <w:p>
            <w:r>
              <w:t>Jobs fail repeatedly; exports unavailable</w:t>
            </w:r>
          </w:p>
        </w:tc>
      </w:tr>
      <w:tr>
        <w:trPr>
          <w:cantSplit/>
        </w:trPr>
        <w:tc>
          <w:tcPr>
            <w:tcW w:type="dxa" w:w="2160"/>
          </w:tcPr>
          <w:p>
            <w:r>
              <w:t>Sev 2</w:t>
            </w:r>
          </w:p>
        </w:tc>
        <w:tc>
          <w:tcPr>
            <w:tcW w:type="dxa" w:w="2160"/>
          </w:tcPr>
          <w:p>
            <w:r>
              <w:t>Degraded service; workaround exists</w:t>
            </w:r>
          </w:p>
        </w:tc>
        <w:tc>
          <w:tcPr>
            <w:tcW w:type="dxa" w:w="2160"/>
          </w:tcPr>
          <w:p>
            <w:r>
              <w:t>Same-day response</w:t>
            </w:r>
          </w:p>
        </w:tc>
        <w:tc>
          <w:tcPr>
            <w:tcW w:type="dxa" w:w="2160"/>
          </w:tcPr>
          <w:p>
            <w:r>
              <w:t>QC engine slow; partial reports delayed</w:t>
            </w:r>
          </w:p>
        </w:tc>
      </w:tr>
      <w:tr>
        <w:trPr>
          <w:cantSplit/>
        </w:trPr>
        <w:tc>
          <w:tcPr>
            <w:tcW w:type="dxa" w:w="2160"/>
          </w:tcPr>
          <w:p>
            <w:r>
              <w:t>Sev 3</w:t>
            </w:r>
          </w:p>
        </w:tc>
        <w:tc>
          <w:tcPr>
            <w:tcW w:type="dxa" w:w="2160"/>
          </w:tcPr>
          <w:p>
            <w:r>
              <w:t>Minor issue; no close impact</w:t>
            </w:r>
          </w:p>
        </w:tc>
        <w:tc>
          <w:tcPr>
            <w:tcW w:type="dxa" w:w="2160"/>
          </w:tcPr>
          <w:p>
            <w:r>
              <w:t>Next business day</w:t>
            </w:r>
          </w:p>
        </w:tc>
        <w:tc>
          <w:tcPr>
            <w:tcW w:type="dxa" w:w="2160"/>
          </w:tcPr>
          <w:p>
            <w:r>
              <w:t>Cosmetic export formatting issue</w:t>
            </w:r>
          </w:p>
        </w:tc>
      </w:tr>
      <w:tr>
        <w:trPr>
          <w:cantSplit/>
        </w:trPr>
        <w:tc>
          <w:tcPr>
            <w:tcW w:type="dxa" w:w="2160"/>
          </w:tcPr>
          <w:p>
            <w:r>
              <w:t>Sev 4</w:t>
            </w:r>
          </w:p>
        </w:tc>
        <w:tc>
          <w:tcPr>
            <w:tcW w:type="dxa" w:w="2160"/>
          </w:tcPr>
          <w:p>
            <w:r>
              <w:t>Question/request</w:t>
            </w:r>
          </w:p>
        </w:tc>
        <w:tc>
          <w:tcPr>
            <w:tcW w:type="dxa" w:w="2160"/>
          </w:tcPr>
          <w:p>
            <w:r>
              <w:t>As scheduled</w:t>
            </w:r>
          </w:p>
        </w:tc>
        <w:tc>
          <w:tcPr>
            <w:tcW w:type="dxa" w:w="2160"/>
          </w:tcPr>
          <w:p>
            <w:r>
              <w:t>How-to guidance; access requests</w:t>
            </w:r>
          </w:p>
        </w:tc>
      </w:tr>
    </w:tbl>
    <w:p>
      <w:pPr>
        <w:pStyle w:val="Heading2"/>
      </w:pPr>
      <w:r>
        <w:t>11.2 Incident Ticket Content (Minimum)</w:t>
      </w:r>
    </w:p>
    <w:p>
      <w:pPr>
        <w:pStyle w:val="ListBullet"/>
      </w:pPr>
      <w:r>
        <w:t>run_id and as_of_date</w:t>
      </w:r>
    </w:p>
    <w:p>
      <w:pPr>
        <w:pStyle w:val="ListBullet"/>
      </w:pPr>
      <w:r>
        <w:t>job_id(s) affected and timestamps</w:t>
      </w:r>
    </w:p>
    <w:p>
      <w:pPr>
        <w:pStyle w:val="ListBullet"/>
      </w:pPr>
      <w:r>
        <w:t>error message excerpt and log location</w:t>
      </w:r>
    </w:p>
    <w:p>
      <w:pPr>
        <w:pStyle w:val="ListBullet"/>
      </w:pPr>
      <w:r>
        <w:t>impact statement (close deadline at risk?)</w:t>
      </w:r>
    </w:p>
    <w:p>
      <w:pPr>
        <w:pStyle w:val="ListBullet"/>
      </w:pPr>
      <w:r>
        <w:t>steps already attempted and results</w:t>
      </w:r>
    </w:p>
    <w:p>
      <w:r>
        <w:br w:type="page"/>
      </w:r>
    </w:p>
    <w:p>
      <w:pPr>
        <w:pStyle w:val="Heading1"/>
      </w:pPr>
      <w:r>
        <w:t>12. Backup, Business Continuity, and Disaster Recovery</w:t>
      </w:r>
    </w:p>
    <w:p>
      <w:pPr>
        <w:pStyle w:val="Heading2"/>
      </w:pPr>
      <w:r>
        <w:t>12.1 Backup Strategy (Typical)</w:t>
      </w:r>
    </w:p>
    <w:p>
      <w:pPr>
        <w:pStyle w:val="ListBullet"/>
      </w:pPr>
      <w:r>
        <w:t>Daily backups of configuration and metadata; weekly full backups of canonical database.</w:t>
      </w:r>
    </w:p>
    <w:p>
      <w:pPr>
        <w:pStyle w:val="ListBullet"/>
      </w:pPr>
      <w:r>
        <w:t>Immutable storage for input packages and outputs (audit vault).</w:t>
      </w:r>
    </w:p>
    <w:p>
      <w:pPr>
        <w:pStyle w:val="ListBullet"/>
      </w:pPr>
      <w:r>
        <w:t>Retention: inputs and outputs retained for at least 7 years unless contract specifies otherwise.</w:t>
      </w:r>
    </w:p>
    <w:p>
      <w:pPr>
        <w:pStyle w:val="Heading2"/>
      </w:pPr>
      <w:r>
        <w:t>12.2 Disaster Recovery Procedure (Summary)</w:t>
      </w:r>
    </w:p>
    <w:p>
      <w:pPr>
        <w:pStyle w:val="ListNumber"/>
      </w:pPr>
      <w:r>
        <w:t>Declare incident and initiate DR runbook; capture incident id.</w:t>
      </w:r>
    </w:p>
    <w:p>
      <w:pPr>
        <w:pStyle w:val="ListNumber"/>
      </w:pPr>
      <w:r>
        <w:t>Restore services in secondary region/environment (if applicable).</w:t>
      </w:r>
    </w:p>
    <w:p>
      <w:pPr>
        <w:pStyle w:val="ListNumber"/>
      </w:pPr>
      <w:r>
        <w:t>Restore latest canonical DB snapshot and configuration snapshot.</w:t>
      </w:r>
    </w:p>
    <w:p>
      <w:pPr>
        <w:pStyle w:val="ListNumber"/>
      </w:pPr>
      <w:r>
        <w:t>Re-ingest last accepted data package from audit vault; validate checksums.</w:t>
      </w:r>
    </w:p>
    <w:p>
      <w:pPr>
        <w:pStyle w:val="ListNumber"/>
      </w:pPr>
      <w:r>
        <w:t>Execute smoke test; if successful, proceed with close run.</w:t>
      </w:r>
    </w:p>
    <w:p>
      <w:pPr>
        <w:pStyle w:val="ListNumber"/>
      </w:pPr>
      <w:r>
        <w:t>Document all steps and approvals; perform post-incident review.</w:t>
      </w:r>
    </w:p>
    <w:p>
      <w:pPr>
        <w:pStyle w:val="Heading2"/>
      </w:pPr>
      <w:r>
        <w:t>12.3 Model Unavailability and Fallback Estimation Procedure</w:t>
      </w:r>
    </w:p>
    <w:p>
      <w:pPr>
        <w:pStyle w:val="BodyText"/>
      </w:pPr>
      <w:r>
        <w:t xml:space="preserve">The client is responsible for maintaining a documented contingency plan that defines what happens if the Northstar CECL Suite is unavailable for a reporting period. This section provides a framework for that plan; the client must adopt, adapt, and formally approve it under their model governance policy.</w:t>
      </w:r>
    </w:p>
    <w:p>
      <w:pPr>
        <w:pStyle w:val="BodyText"/>
      </w:pPr>
      <w:r>
        <w:t xml:space="preserve">Unavailability Scenarios and Response Tiers: The appropriate fallback depends on the nature and expected duration of the outage. Three tiers are defined:</w:t>
      </w:r>
    </w:p>
    <w:p>
      <w:pPr>
        <w:pStyle w:val="BodyText"/>
      </w:pPr>
      <w:r>
        <w:t xml:space="preserve">Tier 1 — Short Delay (Up to 5 Business Days): The DR procedure in Section 12.2 is activated. The close deadline is extended where possible in coordination with Finance and external auditors. No fallback estimation is required if restored services can produce a certified run within the extended window. Northstar provides Sev 1 support with hourly status updates. This tier covers platform outages, infrastructure failures, and recoverable data corruption.</w:t>
      </w:r>
    </w:p>
    <w:p>
      <w:pPr>
        <w:pStyle w:val="BodyText"/>
      </w:pPr>
      <w:r>
        <w:t xml:space="preserve">Tier 2 — Extended Delay (6 to 20 Business Days): If the platform cannot be restored within the extended close window, the client executes a prior-period rollforward as the preliminary fallback. This involves: (i) taking the most recently certified ECL output from the audit vault; (ii) applying a rollforward adjustment calculated by the Finance team to account for new originations, payoffs, charge-offs, and any significant known portfolio events since the prior as_of_date; and (iii) disclosing the use of the rollforward methodology in the relevant financial reporting footnotes. The rollforward must be reviewed and approved by the model owner and CFO (or designee) before use in financial reporting. A supplemental run is produced as soon as the platform is restored and any material differences between the supplemental run and the rollforward estimate are investigated, documented, and disclosed as appropriate.</w:t>
      </w:r>
    </w:p>
    <w:p>
      <w:pPr>
        <w:pStyle w:val="BodyText"/>
      </w:pPr>
      <w:r>
        <w:t xml:space="preserve">Tier 3 — Prolonged or Permanent Unavailability (More Than 20 Business Days or Platform Discontinuation): The client activates a full alternative estimation approach. Approved alternatives that can be operationalized within this timeframe include: (a) a simplified loss-rate method using trailing historical charge-off rates applied to current portfolio balances by product, providing a CECL-consistent estimate with limited granularity; or (b) engagement of a third-party model or advisory firm to produce an independent ECL estimate using the client’s data. Either alternative requires model owner approval, disclosure of the methodology change, and notification to model risk management. The client should designate the preferred Tier 3 alternative in advance and confirm annually that the capability to execute it is maintained (e.g., that the historical data needed for the loss-rate method is accessible and that staff can perform the calculation without vendor assistance).</w:t>
      </w:r>
    </w:p>
    <w:p>
      <w:pPr>
        <w:pStyle w:val="BodyText"/>
      </w:pPr>
      <w:r>
        <w:t xml:space="preserve">Contingency Plan Documentation Requirements: The client’s model governance policy should include a formally documented contingency plan covering: (i) identification of the designated fallback tier and approved fallback methodology; (ii) names and contact information for the individuals responsible for executing each step; (iii) the approval chain required to activate each tier; (iv) communication protocols for informing the Board, external auditors, and regulators if a fallback is used; and (v) a post-recovery review process to assess the accuracy of the fallback estimate and document lessons learned. This plan should be reviewed and updated annually, tested as part of the annual DR exercise, and provided to the independent model validator as part of the model governance documentation package.</w:t>
      </w:r>
    </w:p>
    <w:p>
      <w:r>
        <w:br w:type="page"/>
      </w:r>
    </w:p>
    <w:p>
      <w:pPr>
        <w:pStyle w:val="Heading1"/>
      </w:pPr>
      <w:r>
        <w:t>13. Audit Evidence, Retention, and Traceability</w:t>
      </w:r>
    </w:p>
    <w:p>
      <w:pPr>
        <w:pStyle w:val="BodyText"/>
      </w:pPr>
      <w:r>
        <w:t>Auditability is supported through immutable artifacts and deterministic identifiers. The minimum evidence bundle supports re-performance for a selected as_of_date and scenario set.</w:t>
      </w:r>
    </w:p>
    <w:p>
      <w:pPr>
        <w:pStyle w:val="Heading2"/>
      </w:pPr>
      <w:r>
        <w:t>13.1 Traceability Matrix (Illustrative)</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Question</w:t>
            </w:r>
          </w:p>
        </w:tc>
        <w:tc>
          <w:tcPr>
            <w:tcW w:type="dxa" w:w="2160"/>
          </w:tcPr>
          <w:p>
            <w:r>
              <w:t>Evidence</w:t>
            </w:r>
          </w:p>
        </w:tc>
        <w:tc>
          <w:tcPr>
            <w:tcW w:type="dxa" w:w="2160"/>
          </w:tcPr>
          <w:p>
            <w:r>
              <w:t>Location</w:t>
            </w:r>
          </w:p>
        </w:tc>
        <w:tc>
          <w:tcPr>
            <w:tcW w:type="dxa" w:w="2160"/>
          </w:tcPr>
          <w:p>
            <w:r>
              <w:t>Owner</w:t>
            </w:r>
          </w:p>
        </w:tc>
      </w:tr>
      <w:tr>
        <w:trPr>
          <w:cantSplit/>
        </w:trPr>
        <w:tc>
          <w:tcPr>
            <w:tcW w:type="dxa" w:w="2160"/>
          </w:tcPr>
          <w:p>
            <w:r>
              <w:t>What inputs were used?</w:t>
            </w:r>
          </w:p>
        </w:tc>
        <w:tc>
          <w:tcPr>
            <w:tcW w:type="dxa" w:w="2160"/>
          </w:tcPr>
          <w:p>
            <w:r>
              <w:t>Input file checksums + intake logs</w:t>
            </w:r>
          </w:p>
        </w:tc>
        <w:tc>
          <w:tcPr>
            <w:tcW w:type="dxa" w:w="2160"/>
          </w:tcPr>
          <w:p>
            <w:r>
              <w:t>Audit Vault /inputs</w:t>
            </w:r>
          </w:p>
        </w:tc>
        <w:tc>
          <w:tcPr>
            <w:tcW w:type="dxa" w:w="2160"/>
          </w:tcPr>
          <w:p>
            <w:r>
              <w:t>Run Operator</w:t>
            </w:r>
          </w:p>
        </w:tc>
      </w:tr>
      <w:tr>
        <w:trPr>
          <w:cantSplit/>
        </w:trPr>
        <w:tc>
          <w:tcPr>
            <w:tcW w:type="dxa" w:w="2160"/>
          </w:tcPr>
          <w:p>
            <w:r>
              <w:t>What configuration was used?</w:t>
            </w:r>
          </w:p>
        </w:tc>
        <w:tc>
          <w:tcPr>
            <w:tcW w:type="dxa" w:w="2160"/>
          </w:tcPr>
          <w:p>
            <w:r>
              <w:t>Config snapshot (tables + version id)</w:t>
            </w:r>
          </w:p>
        </w:tc>
        <w:tc>
          <w:tcPr>
            <w:tcW w:type="dxa" w:w="2160"/>
          </w:tcPr>
          <w:p>
            <w:r>
              <w:t>Audit Vault /config</w:t>
            </w:r>
          </w:p>
        </w:tc>
        <w:tc>
          <w:tcPr>
            <w:tcW w:type="dxa" w:w="2160"/>
          </w:tcPr>
          <w:p>
            <w:r>
              <w:t>Run Operator</w:t>
            </w:r>
          </w:p>
        </w:tc>
      </w:tr>
      <w:tr>
        <w:trPr>
          <w:cantSplit/>
        </w:trPr>
        <w:tc>
          <w:tcPr>
            <w:tcW w:type="dxa" w:w="2160"/>
          </w:tcPr>
          <w:p>
            <w:r>
              <w:t>Did QC pass?</w:t>
            </w:r>
          </w:p>
        </w:tc>
        <w:tc>
          <w:tcPr>
            <w:tcW w:type="dxa" w:w="2160"/>
          </w:tcPr>
          <w:p>
            <w:r>
              <w:t>QC report + gate status</w:t>
            </w:r>
          </w:p>
        </w:tc>
        <w:tc>
          <w:tcPr>
            <w:tcW w:type="dxa" w:w="2160"/>
          </w:tcPr>
          <w:p>
            <w:r>
              <w:t>Audit Vault /qc</w:t>
            </w:r>
          </w:p>
        </w:tc>
        <w:tc>
          <w:tcPr>
            <w:tcW w:type="dxa" w:w="2160"/>
          </w:tcPr>
          <w:p>
            <w:r>
              <w:t>Data Steward</w:t>
            </w:r>
          </w:p>
        </w:tc>
      </w:tr>
      <w:tr>
        <w:trPr>
          <w:cantSplit/>
        </w:trPr>
        <w:tc>
          <w:tcPr>
            <w:tcW w:type="dxa" w:w="2160"/>
          </w:tcPr>
          <w:p>
            <w:r>
              <w:t>When did jobs run?</w:t>
            </w:r>
          </w:p>
        </w:tc>
        <w:tc>
          <w:tcPr>
            <w:tcW w:type="dxa" w:w="2160"/>
          </w:tcPr>
          <w:p>
            <w:r>
              <w:t>Job logs + timestamps</w:t>
            </w:r>
          </w:p>
        </w:tc>
        <w:tc>
          <w:tcPr>
            <w:tcW w:type="dxa" w:w="2160"/>
          </w:tcPr>
          <w:p>
            <w:r>
              <w:t>Audit Vault /logs</w:t>
            </w:r>
          </w:p>
        </w:tc>
        <w:tc>
          <w:tcPr>
            <w:tcW w:type="dxa" w:w="2160"/>
          </w:tcPr>
          <w:p>
            <w:r>
              <w:t>Platform Admin</w:t>
            </w:r>
          </w:p>
        </w:tc>
      </w:tr>
      <w:tr>
        <w:trPr>
          <w:cantSplit/>
        </w:trPr>
        <w:tc>
          <w:tcPr>
            <w:tcW w:type="dxa" w:w="2160"/>
          </w:tcPr>
          <w:p>
            <w:r>
              <w:t>What outputs were delivered?</w:t>
            </w:r>
          </w:p>
        </w:tc>
        <w:tc>
          <w:tcPr>
            <w:tcW w:type="dxa" w:w="2160"/>
          </w:tcPr>
          <w:p>
            <w:r>
              <w:t>Export package + checksums</w:t>
            </w:r>
          </w:p>
        </w:tc>
        <w:tc>
          <w:tcPr>
            <w:tcW w:type="dxa" w:w="2160"/>
          </w:tcPr>
          <w:p>
            <w:r>
              <w:t>Audit Vault /outputs</w:t>
            </w:r>
          </w:p>
        </w:tc>
        <w:tc>
          <w:tcPr>
            <w:tcW w:type="dxa" w:w="2160"/>
          </w:tcPr>
          <w:p>
            <w:r>
              <w:t>Run Operator</w:t>
            </w:r>
          </w:p>
        </w:tc>
      </w:tr>
      <w:tr>
        <w:trPr>
          <w:cantSplit/>
        </w:trPr>
        <w:tc>
          <w:tcPr>
            <w:tcW w:type="dxa" w:w="2160"/>
          </w:tcPr>
          <w:p>
            <w:r>
              <w:t>Who approved results?</w:t>
            </w:r>
          </w:p>
        </w:tc>
        <w:tc>
          <w:tcPr>
            <w:tcW w:type="dxa" w:w="2160"/>
          </w:tcPr>
          <w:p>
            <w:r>
              <w:t>Finance sign-off memo</w:t>
            </w:r>
          </w:p>
        </w:tc>
        <w:tc>
          <w:tcPr>
            <w:tcW w:type="dxa" w:w="2160"/>
          </w:tcPr>
          <w:p>
            <w:r>
              <w:t>Client close package repository</w:t>
            </w:r>
          </w:p>
        </w:tc>
        <w:tc>
          <w:tcPr>
            <w:tcW w:type="dxa" w:w="2160"/>
          </w:tcPr>
          <w:p>
            <w:r>
              <w:t>Finance Reviewer</w:t>
            </w:r>
          </w:p>
        </w:tc>
      </w:tr>
    </w:tbl>
    <w:p>
      <w:pPr>
        <w:pStyle w:val="Heading2"/>
      </w:pPr>
      <w:r>
        <w:t>13.2 Retention and Access</w:t>
      </w:r>
    </w:p>
    <w:p>
      <w:pPr>
        <w:pStyle w:val="BodyText"/>
      </w:pPr>
      <w:r>
        <w:t>Evidence bundles are retained in read-only storage. Access is limited to authorized personnel and is logged. If clients require longer retention or specific archival formats, these are defined in the statement of work.</w:t>
      </w:r>
    </w:p>
    <w:p>
      <w:r>
        <w:br w:type="page"/>
      </w:r>
    </w:p>
    <w:p>
      <w:pPr>
        <w:pStyle w:val="Heading1"/>
      </w:pPr>
      <w:r>
        <w:t>Appendix A: Detailed Run Checklist (Printable)</w:t>
      </w:r>
    </w:p>
    <w:p>
      <w:pPr>
        <w:pStyle w:val="ListNumber"/>
      </w:pPr>
      <w:r>
        <w:t>Confirm close calendar date and reporting as_of_date.</w:t>
      </w:r>
    </w:p>
    <w:p>
      <w:pPr>
        <w:pStyle w:val="ListNumber"/>
      </w:pPr>
      <w:r>
        <w:t>Verify scenario package approved and stored (scenario_set id).</w:t>
      </w:r>
    </w:p>
    <w:p>
      <w:pPr>
        <w:pStyle w:val="ListNumber"/>
      </w:pPr>
      <w:r>
        <w:t>Confirm data delivery complete; verify checksums.</w:t>
      </w:r>
    </w:p>
    <w:p>
      <w:pPr>
        <w:pStyle w:val="ListNumber"/>
      </w:pPr>
      <w:r>
        <w:t>Run QC suite; resolve all Critical findings.</w:t>
      </w:r>
    </w:p>
    <w:p>
      <w:pPr>
        <w:pStyle w:val="ListNumber"/>
      </w:pPr>
      <w:r>
        <w:t>Perform balance and CO/recovery reconciliation; document variances.</w:t>
      </w:r>
    </w:p>
    <w:p>
      <w:pPr>
        <w:pStyle w:val="ListNumber"/>
      </w:pPr>
      <w:r>
        <w:t>Lock configuration snapshot; export RUN_CONTROL and scenario set.</w:t>
      </w:r>
    </w:p>
    <w:p>
      <w:pPr>
        <w:pStyle w:val="ListNumber"/>
      </w:pPr>
      <w:r>
        <w:t>Execute standard run; monitor JOB-400 and JOB-500.</w:t>
      </w:r>
    </w:p>
    <w:p>
      <w:pPr>
        <w:pStyle w:val="ListNumber"/>
      </w:pPr>
      <w:r>
        <w:t>Review variance diagnostics and exceptions; document drivers.</w:t>
      </w:r>
    </w:p>
    <w:p>
      <w:pPr>
        <w:pStyle w:val="ListNumber"/>
      </w:pPr>
      <w:r>
        <w:t>Generate exports; verify checksum and file counts.</w:t>
      </w:r>
    </w:p>
    <w:p>
      <w:pPr>
        <w:pStyle w:val="ListNumber"/>
      </w:pPr>
      <w:r>
        <w:t>Finance review and sign-off; archive evidence bundle.</w:t>
      </w:r>
    </w:p>
    <w:p>
      <w:pPr>
        <w:pStyle w:val="Heading1"/>
      </w:pPr>
      <w:r>
        <w:t>Appendix B: Sample Run Log (Excerpt)</w:t>
      </w:r>
    </w:p>
    <w:p>
      <w:pPr>
        <w:pStyle w:val="BodyText"/>
      </w:pPr>
      <w:r>
        <w:rPr>
          <w:rFonts w:ascii="Consolas" w:hAnsi="Consolas"/>
          <w:sz w:val="20"/>
        </w:rPr>
        <w:t>Run ID: 2026Q1_SRB_00052</w:t>
      </w:r>
    </w:p>
    <w:p>
      <w:pPr>
        <w:pStyle w:val="BodyText"/>
      </w:pPr>
      <w:r>
        <w:rPr>
          <w:rFonts w:ascii="Consolas" w:hAnsi="Consolas"/>
          <w:sz w:val="20"/>
        </w:rPr>
        <w:t>As-of Date: 2026-01-31</w:t>
      </w:r>
    </w:p>
    <w:p>
      <w:pPr>
        <w:pStyle w:val="BodyText"/>
      </w:pPr>
      <w:r>
        <w:rPr>
          <w:rFonts w:ascii="Consolas" w:hAnsi="Consolas"/>
          <w:sz w:val="20"/>
        </w:rPr>
        <w:t>Scenario Set: 2026Q1_ForecastSet_A (Baseline 60%, Adverse 30%, Severe 10%)</w:t>
      </w:r>
    </w:p>
    <w:p>
      <w:pPr>
        <w:pStyle w:val="BodyText"/>
      </w:pPr>
      <w:r>
        <w:rPr>
          <w:rFonts w:ascii="Consolas" w:hAnsi="Consolas"/>
          <w:sz w:val="20"/>
        </w:rPr>
        <w:t>Data Package ID: SRB_2026-01-31_PKG_00018</w:t>
      </w:r>
    </w:p>
    <w:p>
      <w:pPr>
        <w:pStyle w:val="BodyText"/>
      </w:pPr>
      <w:r>
        <w:rPr>
          <w:rFonts w:ascii="Consolas" w:hAnsi="Consolas"/>
          <w:sz w:val="20"/>
        </w:rPr>
        <w:t>Operator: op_0147</w:t>
      </w:r>
    </w:p>
    <w:p>
      <w:pPr>
        <w:pStyle w:val="BodyText"/>
      </w:pPr>
      <w:r>
        <w:rPr>
          <w:rFonts w:ascii="Consolas" w:hAnsi="Consolas"/>
          <w:sz w:val="20"/>
        </w:rPr>
        <w:t>Start Time: 2026-02-03T02:15:09Z</w:t>
      </w:r>
    </w:p>
    <w:p>
      <w:pPr>
        <w:pStyle w:val="BodyText"/>
      </w:pPr>
      <w:r>
        <w:rPr>
          <w:rFonts w:ascii="Consolas" w:hAnsi="Consolas"/>
          <w:sz w:val="20"/>
        </w:rPr>
        <w:t>End Time: 2026-02-03T04:42:51Z</w:t>
      </w:r>
    </w:p>
    <w:p>
      <w:pPr>
        <w:pStyle w:val="BodyText"/>
      </w:pPr>
      <w:r>
        <w:rPr>
          <w:rFonts w:ascii="Consolas" w:hAnsi="Consolas"/>
          <w:sz w:val="20"/>
        </w:rPr>
        <w:t>Status: SUCCESS</w:t>
      </w:r>
    </w:p>
    <w:p>
      <w:pPr>
        <w:pStyle w:val="BodyText"/>
      </w:pPr>
      <w:r>
        <w:rPr>
          <w:rFonts w:ascii="Consolas" w:hAnsi="Consolas"/>
          <w:sz w:val="20"/>
        </w:rPr>
        <w:t>Notes: One High QC finding (stale collateral &gt;18mo) accepted with documented exception EXC-2026-02-03-01</w:t>
      </w:r>
    </w:p>
    <w:p>
      <w:pPr>
        <w:pStyle w:val="Heading1"/>
      </w:pPr>
      <w:r>
        <w:t>Appendix C: Glossary (Operational)</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Term</w:t>
            </w:r>
          </w:p>
        </w:tc>
        <w:tc>
          <w:tcPr>
            <w:tcW w:type="dxa" w:w="4320"/>
          </w:tcPr>
          <w:p>
            <w:r>
              <w:t>Definition</w:t>
            </w:r>
          </w:p>
        </w:tc>
      </w:tr>
      <w:tr>
        <w:trPr>
          <w:cantSplit/>
        </w:trPr>
        <w:tc>
          <w:tcPr>
            <w:tcW w:type="dxa" w:w="4320"/>
          </w:tcPr>
          <w:p>
            <w:r>
              <w:t>as_of_date</w:t>
            </w:r>
          </w:p>
        </w:tc>
        <w:tc>
          <w:tcPr>
            <w:tcW w:type="dxa" w:w="4320"/>
          </w:tcPr>
          <w:p>
            <w:r>
              <w:t>Reporting cutoff date used for snapshots and allowance run.</w:t>
            </w:r>
          </w:p>
        </w:tc>
      </w:tr>
      <w:tr>
        <w:trPr>
          <w:cantSplit/>
        </w:trPr>
        <w:tc>
          <w:tcPr>
            <w:tcW w:type="dxa" w:w="4320"/>
          </w:tcPr>
          <w:p>
            <w:r>
              <w:t>data_package_id</w:t>
            </w:r>
          </w:p>
        </w:tc>
        <w:tc>
          <w:tcPr>
            <w:tcW w:type="dxa" w:w="4320"/>
          </w:tcPr>
          <w:p>
            <w:r>
              <w:t>Identifier for a delivered set of input files.</w:t>
            </w:r>
          </w:p>
        </w:tc>
      </w:tr>
      <w:tr>
        <w:trPr>
          <w:cantSplit/>
        </w:trPr>
        <w:tc>
          <w:tcPr>
            <w:tcW w:type="dxa" w:w="4320"/>
          </w:tcPr>
          <w:p>
            <w:r>
              <w:t>gate</w:t>
            </w:r>
          </w:p>
        </w:tc>
        <w:tc>
          <w:tcPr>
            <w:tcW w:type="dxa" w:w="4320"/>
          </w:tcPr>
          <w:p>
            <w:r>
              <w:t>Control point requiring review/approval before proceeding.</w:t>
            </w:r>
          </w:p>
        </w:tc>
      </w:tr>
      <w:tr>
        <w:trPr>
          <w:cantSplit/>
        </w:trPr>
        <w:tc>
          <w:tcPr>
            <w:tcW w:type="dxa" w:w="4320"/>
          </w:tcPr>
          <w:p>
            <w:r>
              <w:t>orchestration console</w:t>
            </w:r>
          </w:p>
        </w:tc>
        <w:tc>
          <w:tcPr>
            <w:tcW w:type="dxa" w:w="4320"/>
          </w:tcPr>
          <w:p>
            <w:r>
              <w:t>User interface for running and monitoring jobs.</w:t>
            </w:r>
          </w:p>
        </w:tc>
      </w:tr>
      <w:tr>
        <w:trPr>
          <w:cantSplit/>
        </w:trPr>
        <w:tc>
          <w:tcPr>
            <w:tcW w:type="dxa" w:w="4320"/>
          </w:tcPr>
          <w:p>
            <w:r>
              <w:t>audit vault</w:t>
            </w:r>
          </w:p>
        </w:tc>
        <w:tc>
          <w:tcPr>
            <w:tcW w:type="dxa" w:w="4320"/>
          </w:tcPr>
          <w:p>
            <w:r>
              <w:t>Immutable storage for inputs, outputs, configuration, and logs.</w:t>
            </w:r>
          </w:p>
        </w:tc>
      </w:tr>
    </w:tbl>
    <w:p>
      <w:r>
        <w:br w:type="page"/>
      </w:r>
    </w:p>
    <w:p>
      <w:pPr>
        <w:pStyle w:val="Heading1"/>
      </w:pPr>
      <w:r>
        <w:t>Appendix D: UAT Evidence Package Requirements</w:t>
      </w:r>
    </w:p>
    <w:p>
      <w:pPr>
        <w:pStyle w:val="BodyText"/>
      </w:pPr>
      <w:r>
        <w:t xml:space="preserve">User Acceptance Testing (UAT) is a mandatory gate before any initial go-live or major version release is promoted to PROD. The UAT evidence package produced during testing is provided to the client for retention in the model implementation file and for use by the independent model validator. The following describes the minimum required contents of the UAT evidence package.</w:t>
      </w:r>
    </w:p>
    <w:p>
      <w:pPr>
        <w:pStyle w:val="Heading2"/>
      </w:pPr>
      <w:r>
        <w:t>D.1 UAT Scope and Minimum Test Periods</w:t>
      </w:r>
    </w:p>
    <w:p>
      <w:pPr>
        <w:pStyle w:val="BodyText"/>
      </w:pPr>
      <w:r>
        <w:t xml:space="preserve">UAT is conducted in the Northstar UAT environment using the client’s own data. A minimum of three consecutive month-end periods are required. For each period, the full end-to-end pipeline is executed: data delivery, QC, canonical transformation, model compute (JOB-400), post-run QC (JOB-500), and export generation (JOB-600). JOB-700 archiving is executed in UAT to verify that evidence bundle generation functions correctly; UAT artifacts are stored in a separate UAT vault and are not commingled with production artifacts.</w:t>
      </w:r>
    </w:p>
    <w:p>
      <w:pPr>
        <w:pStyle w:val="Heading2"/>
      </w:pPr>
      <w:r>
        <w:t>D.2 UAT Evidence Package Contents</w:t>
      </w:r>
    </w:p>
    <w:p>
      <w:pPr>
        <w:pStyle w:val="BodyText"/>
      </w:pPr>
      <w:r>
        <w:t xml:space="preserve">UAT Test Plan: A written test plan prepared by Northstar and reviewed by the client model owner prior to the start of UAT. The test plan defines: scope (portfolios, products, segments), test periods, test scenarios (including at least one scenario-weight change test and one data-quality exception test), acceptance criteria for each test case, and roles and responsibilities.</w:t>
      </w:r>
    </w:p>
    <w:p>
      <w:pPr>
        <w:pStyle w:val="BodyText"/>
      </w:pPr>
      <w:r>
        <w:t xml:space="preserve">QC Reports for Each Period: The full QC report (all Critical, High, Medium, Low findings) for each UAT period, confirming that the QC engine functions correctly and that findings are categorized and reported as documented in the ETL Specification. For each Critical or High finding encountered during UAT, the resolution or documented exception must be included.</w:t>
      </w:r>
    </w:p>
    <w:p>
      <w:pPr>
        <w:pStyle w:val="BodyText"/>
      </w:pPr>
      <w:r>
        <w:t xml:space="preserve">Reconciliation Evidence: Completed reconciliation workbooks for each UAT period, demonstrating that balance, charge-off, and recovery totals tie to the client’s source system control totals within the established tolerances. Signed by the Data Steward for each period.</w:t>
      </w:r>
    </w:p>
    <w:p>
      <w:pPr>
        <w:pStyle w:val="BodyText"/>
      </w:pPr>
      <w:r>
        <w:t xml:space="preserve">Output Comparison Report: A segment- and portfolio-level comparison of UAT outputs to a reference (prior version or hand-calculated benchmark for a simplified test portfolio). All differences explained by the scope of the release are documented; unexplained differences are treated as defects. The comparison report must demonstrate that the DRIVER_ATTRIBUTION output correctly attributes period-over-period changes across the balance, PD, LGD, EAD, and scenario components.</w:t>
      </w:r>
    </w:p>
    <w:p>
      <w:pPr>
        <w:pStyle w:val="BodyText"/>
      </w:pPr>
      <w:r>
        <w:t xml:space="preserve">UAT Findings Log: A log of all issues identified during UAT, their severity classification, assigned owner, resolution, and date closed. All Critical and High findings must be resolved before UAT sign-off. Medium and Low findings may be carried forward with documented rationale and a remediation timeline.</w:t>
      </w:r>
    </w:p>
    <w:p>
      <w:pPr>
        <w:pStyle w:val="BodyText"/>
      </w:pPr>
      <w:r>
        <w:t xml:space="preserve">UAT Acceptance Records: For each of the three required test periods, a signed UAT Acceptance Record from the client model owner (or designated delegate) confirming that the outputs for that period have been reviewed and found acceptable. The final UAT Acceptance Record also serves as the gate criterion for production promotion approval.</w:t>
      </w:r>
    </w:p>
    <w:p>
      <w:pPr>
        <w:pStyle w:val="BodyText"/>
      </w:pPr>
      <w:r>
        <w:t xml:space="preserve">Parallel Run Summary (if applicable): Where a parallel run is conducted alongside UAT (see ETL Specification Section 11.2), a parallel run comparison summary is included. This document presents ECL totals from both the legacy approach and the Northstar CECL Suite side-by-side for each parallel period, with explanations of all differences greater than 5% at the portfolio level. The parallel run summary is reviewed by model risk management prior to production go-live approval.</w:t>
      </w:r>
    </w:p>
    <w:p>
      <w:pPr>
        <w:pStyle w:val="Heading1"/>
      </w:pPr>
      <w:r>
        <w:t>Appendix E: Standard Configuration Settings Reference</w:t>
      </w:r>
    </w:p>
    <w:p>
      <w:pPr>
        <w:pStyle w:val="BodyText"/>
      </w:pPr>
      <w:r>
        <w:t xml:space="preserve">This appendix documents the standard (default) configuration settings for the CECL Suite v4.2 as delivered to Sample Regional Bank, the conditions under which each setting may be changed, and the required approval and testing steps for any change. All deviations from standard settings must be documented in the Configuration Change Log maintained by the model owner.</w:t>
      </w:r>
    </w:p>
    <w:p>
      <w:pPr>
        <w:pStyle w:val="Heading2"/>
      </w:pPr>
      <w:r>
        <w:t>E.1 Forecast and Reversion Parameters</w:t>
      </w:r>
    </w:p>
    <w:p>
      <w:pPr>
        <w:pStyle w:val="BodyText"/>
      </w:pPr>
      <w:r>
        <w:t xml:space="preserve">Forecast horizon: Standard setting is 12 months for unsecured products (credit cards) and 18 months for secured and small-business products. May be extended to 24 months if management determines a longer reasonable-and-supportable period is warranted by available economic information. Changes require Finance Reviewer and model owner approval; re-run in UAT environment with sensitivity analysis comparing ECL impact of the horizon change before promotion to PROD.</w:t>
      </w:r>
    </w:p>
    <w:p>
      <w:pPr>
        <w:pStyle w:val="BodyText"/>
      </w:pPr>
      <w:r>
        <w:t xml:space="preserve">Reversion method: Standard setting is linear reversion to long-run mean beginning at the end of the forecast horizon. Step reversion (immediate reversion at horizon end) is available as an alternative configuration. Change requires model owner approval and documentation of rationale; ECL sensitivity to the reversion method change must be quantified and included in the change documentation.</w:t>
      </w:r>
    </w:p>
    <w:p>
      <w:pPr>
        <w:pStyle w:val="BodyText"/>
      </w:pPr>
      <w:r>
        <w:t xml:space="preserve">Long-run macro anchors: Standard setting uses Northstar-provided long-run averages calibrated over the full consortium history. Client may substitute policy-based or internally approved long-run anchors. Substitution requires model owner and model risk management approval; anchors must be documented with supporting rationale and retained in the configuration snapshot for each run that uses them.</w:t>
      </w:r>
    </w:p>
    <w:p>
      <w:pPr>
        <w:pStyle w:val="Heading2"/>
      </w:pPr>
      <w:r>
        <w:t>E.2 Scenario Configuration</w:t>
      </w:r>
    </w:p>
    <w:p>
      <w:pPr>
        <w:pStyle w:val="BodyText"/>
      </w:pPr>
      <w:r>
        <w:t xml:space="preserve">Scenario set: No prescribed default; scenario selection and update frequency are entirely client-governed. Standard practice is to use a named forecast set approved by the ACL/ALLL Committee at each quarter-end, with interim months using the most recently approved set unless updated. The scenario_set identifier is stored in the run metadata for every run.</w:t>
      </w:r>
    </w:p>
    <w:p>
      <w:pPr>
        <w:pStyle w:val="BodyText"/>
      </w:pPr>
      <w:r>
        <w:t xml:space="preserve">Scenario weights: No prescribed default; the standard practice illustrated in sample run logs (e.g., Baseline 60%, Adverse 30%, Severe 10%) is illustrative only and not a Northstar recommendation. Weights must sum to 1.0 and are validated by the QC engine at run time. Weight changes between periods are flagged in the DRIVER_ATTRIBUTION output. Weight changes require Finance Reviewer approval and documentation of the rationale in the quarterly ACL Committee report.</w:t>
      </w:r>
    </w:p>
    <w:p>
      <w:pPr>
        <w:pStyle w:val="Heading2"/>
      </w:pPr>
      <w:r>
        <w:t>E.3 Segmentation and Behavioral Maturity</w:t>
      </w:r>
    </w:p>
    <w:p>
      <w:pPr>
        <w:pStyle w:val="BodyText"/>
      </w:pPr>
      <w:r>
        <w:t xml:space="preserve">Segmentation: Standard segmentation is defined in the SEGMENT_DEFINITION configuration artifact delivered with the initial implementation and documented in the client mapping workbook. Segmentation changes (adding, splitting, or merging segments) are always treated as material changes regardless of estimated ECL impact. They require the full release workflow (Section 4.2), an updated data applicability assessment, and independent model validation review before production use.</w:t>
      </w:r>
    </w:p>
    <w:p>
      <w:pPr>
        <w:pStyle w:val="BodyText"/>
      </w:pPr>
      <w:r>
        <w:t xml:space="preserve">Behavioral maturity cap (revolving products): Standard setting is disabled (projection runs to contractual maturity). Behavioral maturity may be enabled for revolving products where historical account survival data supports a shorter effective term. Enabling requires model owner approval and supporting analysis of account survival curves; the analysis is retained in the configuration documentation.</w:t>
      </w:r>
    </w:p>
    <w:p>
      <w:pPr>
        <w:pStyle w:val="Heading2"/>
      </w:pPr>
      <w:r>
        <w:t>E.4 QC Thresholds and Gate Settings</w:t>
      </w:r>
    </w:p>
    <w:p>
      <w:pPr>
        <w:pStyle w:val="BodyText"/>
      </w:pPr>
      <w:r>
        <w:t xml:space="preserve">QC thresholds: Standard thresholds are defined in the QC_RULES configuration artifact and align to the Rule Catalog in the ETL Specification (Document NA-CECL-DMES-4.2, Section 8.2). Threshold changes (e.g., loosening a Critical rule to High) require model owner and model risk management approval, are treated as non-material configuration changes, and must be tested in UAT before promotion. The rationale for any threshold change must be documented and retained. Tightening thresholds does not require additional approval but should be communicated to the Data Steward and Finance team to avoid unnecessary run delays. Gate settings (which findings block the run vs. require documented exception) follow the severity classifications in Section 8 of the ETL Specification and are not independently configurable without a configuration change ticket.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Northstar CECL Suite v4.2 - Implementation &amp; Production Operations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