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Northstar Analytics</w:t>
        <w:br/>
      </w:r>
    </w:p>
    <w:p>
      <w:pPr>
        <w:jc w:val="center"/>
      </w:pPr>
      <w:r>
        <w:rPr>
          <w:b/>
          <w:sz w:val="40"/>
        </w:rPr>
        <w:t>CECL Model Suite</w:t>
        <w:br/>
        <w:t>Methodology &amp; Model Development Report</w:t>
      </w:r>
    </w:p>
    <w:p>
      <w:pPr>
        <w:jc w:val="center"/>
      </w:pPr>
      <w:r>
        <w:rPr>
          <w:sz w:val="24"/>
        </w:rPr>
        <w:t>Product: Northstar CECL Suite v4.2</w:t>
        <w:br/>
        <w:t>Document ID: NA-CECL-MDR-4.2</w:t>
        <w:br/>
      </w:r>
    </w:p>
    <w:p>
      <w:pPr>
        <w:jc w:val="center"/>
      </w:pPr>
      <w:r>
        <w:rPr>
          <w:i/>
          <w:sz w:val="22"/>
        </w:rPr>
        <w:t>Release Date: February 17, 2026</w:t>
        <w:br/>
        <w:t>Confidential - For Client Use Only</w:t>
      </w:r>
    </w:p>
    <w:p/>
    <w:p>
      <w:pPr>
        <w:pStyle w:val="BodyText"/>
      </w:pPr>
      <w:r>
        <w:rPr>
          <w:b/>
        </w:rPr>
        <w:t xml:space="preserve">Prepared by: </w:t>
      </w:r>
      <w:r>
        <w:t>Northstar Analytics, Model Engineering Group</w:t>
        <w:br/>
      </w:r>
      <w:r>
        <w:rPr>
          <w:b/>
        </w:rPr>
        <w:t xml:space="preserve">Prepared for: </w:t>
      </w:r>
      <w:r>
        <w:t>Sample Regional Bank (SRB) - Finance &amp; Credit Risk</w:t>
        <w:br/>
      </w:r>
      <w:r>
        <w:rPr>
          <w:b/>
        </w:rPr>
        <w:t xml:space="preserve">Primary contacts: </w:t>
      </w:r>
      <w:r>
        <w:t>modelsupport@northstaranalytics.example | +1 (555) 010-2200</w:t>
        <w:br/>
      </w:r>
    </w:p>
    <w:p>
      <w:r>
        <w:br w:type="page"/>
      </w:r>
    </w:p>
    <w:p>
      <w:pPr>
        <w:pStyle w:val="Heading1"/>
      </w:pPr>
      <w:r>
        <w:t>Document Control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Reviewer</w:t>
            </w:r>
          </w:p>
        </w:tc>
        <w:tc>
          <w:tcPr>
            <w:tcW w:type="dxa" w:w="1728"/>
          </w:tcPr>
          <w:p>
            <w:r>
              <w:t>Summary of Changes</w:t>
            </w:r>
          </w:p>
        </w:tc>
      </w:tr>
      <w:tr>
        <w:tc>
          <w:tcPr>
            <w:tcW w:type="dxa" w:w="1728"/>
          </w:tcPr>
          <w:p>
            <w:r>
              <w:t>4.0</w:t>
            </w:r>
          </w:p>
        </w:tc>
        <w:tc>
          <w:tcPr>
            <w:tcW w:type="dxa" w:w="1728"/>
          </w:tcPr>
          <w:p>
            <w:r>
              <w:t>2025-08-30</w:t>
            </w:r>
          </w:p>
        </w:tc>
        <w:tc>
          <w:tcPr>
            <w:tcW w:type="dxa" w:w="1728"/>
          </w:tcPr>
          <w:p>
            <w:r>
              <w:t>M. Chen</w:t>
            </w:r>
          </w:p>
        </w:tc>
        <w:tc>
          <w:tcPr>
            <w:tcW w:type="dxa" w:w="1728"/>
          </w:tcPr>
          <w:p>
            <w:r>
              <w:t>R. Patel</w:t>
            </w:r>
          </w:p>
        </w:tc>
        <w:tc>
          <w:tcPr>
            <w:tcW w:type="dxa" w:w="1728"/>
          </w:tcPr>
          <w:p>
            <w:r>
              <w:t>Initial client release for CECL Suite v4.0</w:t>
            </w:r>
          </w:p>
        </w:tc>
      </w:tr>
      <w:tr>
        <w:tc>
          <w:tcPr>
            <w:tcW w:type="dxa" w:w="1728"/>
          </w:tcPr>
          <w:p>
            <w:r>
              <w:t>4.1</w:t>
            </w:r>
          </w:p>
        </w:tc>
        <w:tc>
          <w:tcPr>
            <w:tcW w:type="dxa" w:w="1728"/>
          </w:tcPr>
          <w:p>
            <w:r>
              <w:t>2025-11-15</w:t>
            </w:r>
          </w:p>
        </w:tc>
        <w:tc>
          <w:tcPr>
            <w:tcW w:type="dxa" w:w="1728"/>
          </w:tcPr>
          <w:p>
            <w:r>
              <w:t>M. Chen</w:t>
            </w:r>
          </w:p>
        </w:tc>
        <w:tc>
          <w:tcPr>
            <w:tcW w:type="dxa" w:w="1728"/>
          </w:tcPr>
          <w:p>
            <w:r>
              <w:t>R. Patel</w:t>
            </w:r>
          </w:p>
        </w:tc>
        <w:tc>
          <w:tcPr>
            <w:tcW w:type="dxa" w:w="1728"/>
          </w:tcPr>
          <w:p>
            <w:r>
              <w:t>Expanded macro-scenario integration; added revolving EAD module</w:t>
            </w:r>
          </w:p>
        </w:tc>
      </w:tr>
      <w:tr>
        <w:tc>
          <w:tcPr>
            <w:tcW w:type="dxa" w:w="1728"/>
          </w:tcPr>
          <w:p>
            <w:r>
              <w:t>4.2</w:t>
            </w:r>
          </w:p>
        </w:tc>
        <w:tc>
          <w:tcPr>
            <w:tcW w:type="dxa" w:w="1728"/>
          </w:tcPr>
          <w:p>
            <w:r>
              <w:t>2026-02-17</w:t>
            </w:r>
          </w:p>
        </w:tc>
        <w:tc>
          <w:tcPr>
            <w:tcW w:type="dxa" w:w="1728"/>
          </w:tcPr>
          <w:p>
            <w:r>
              <w:t>M. Chen</w:t>
            </w:r>
          </w:p>
        </w:tc>
        <w:tc>
          <w:tcPr>
            <w:tcW w:type="dxa" w:w="1728"/>
          </w:tcPr>
          <w:p>
            <w:r>
              <w:t>R. Patel</w:t>
            </w:r>
          </w:p>
        </w:tc>
        <w:tc>
          <w:tcPr>
            <w:tcW w:type="dxa" w:w="1728"/>
          </w:tcPr>
          <w:p>
            <w:r>
              <w:t>Refined segmentation stability process; added calibration diagnostics; updated appendices</w:t>
            </w:r>
          </w:p>
        </w:tc>
      </w:tr>
    </w:tbl>
    <w:p/>
    <w:p>
      <w:pPr>
        <w:pStyle w:val="Heading2"/>
      </w:pPr>
      <w:r>
        <w:t>Distribution</w:t>
      </w:r>
    </w:p>
    <w:p>
      <w:pPr>
        <w:pStyle w:val="BodyText"/>
      </w:pPr>
      <w:r>
        <w:t>This report is intended for use by client personnel involved in model governance, financial reporting, and model risk management. Reproduction or external distribution is prohibited without written permission from Northstar Analytics.</w:t>
      </w:r>
    </w:p>
    <w:p/>
    <w:p>
      <w:pPr>
        <w:pStyle w:val="Heading2"/>
      </w:pPr>
      <w:r>
        <w:t>Disclaimer</w:t>
      </w:r>
    </w:p>
    <w:p>
      <w:pPr>
        <w:pStyle w:val="BodyText"/>
      </w:pPr>
      <w:r>
        <w:t>Northstar Analytics provides the CECL Suite as a decision-support tool. The client is responsible for evaluating model appropriateness, implementing effective controls, and ensuring compliance with applicable accounting guidance and internal policies. Results are sensitive to data quality, segmentation, scenario selection, and management overlays.</w:t>
      </w:r>
    </w:p>
    <w:p>
      <w:r>
        <w:br w:type="page"/>
      </w:r>
    </w:p>
    <w:p>
      <w:pPr>
        <w:pStyle w:val="Heading1"/>
      </w:pPr>
      <w:r>
        <w:t>Table of Contents (Generated in Word)</w:t>
      </w:r>
    </w:p>
    <w:p>
      <w:pPr>
        <w:pStyle w:val="BodyText"/>
      </w:pPr>
      <w:r>
        <w:t>Note: This document contains a placeholder for a Microsoft Word-generated Table of Contents. To update: References &gt; Table of Contents &gt; Update Table.</w:t>
      </w:r>
    </w:p>
    <w:p/>
    <w:p>
      <w:pPr>
        <w:pStyle w:val="BodyText"/>
      </w:pPr>
      <w:r>
        <w:t>1. Overview</w:t>
      </w:r>
    </w:p>
    <w:p>
      <w:pPr>
        <w:pStyle w:val="BodyText"/>
      </w:pPr>
      <w:r>
        <w:t>2. Conceptual Framework</w:t>
      </w:r>
    </w:p>
    <w:p>
      <w:pPr>
        <w:pStyle w:val="BodyText"/>
      </w:pPr>
      <w:r>
        <w:t>3. Model Architecture</w:t>
      </w:r>
    </w:p>
    <w:p>
      <w:pPr>
        <w:pStyle w:val="BodyText"/>
      </w:pPr>
      <w:r>
        <w:t>4. Portfolio Segmentation</w:t>
      </w:r>
    </w:p>
    <w:p>
      <w:pPr>
        <w:pStyle w:val="BodyText"/>
      </w:pPr>
      <w:r>
        <w:t>5. Probability of Default (PD) Methodology</w:t>
      </w:r>
    </w:p>
    <w:p>
      <w:pPr>
        <w:pStyle w:val="BodyText"/>
      </w:pPr>
      <w:r>
        <w:t>6. Loss Given Default (LGD) and Recovery Modeling</w:t>
      </w:r>
    </w:p>
    <w:p>
      <w:pPr>
        <w:pStyle w:val="BodyText"/>
      </w:pPr>
      <w:r>
        <w:t>7. Exposure at Default (EAD), Utilization, and Prepayment</w:t>
      </w:r>
    </w:p>
    <w:p>
      <w:pPr>
        <w:pStyle w:val="BodyText"/>
      </w:pPr>
      <w:r>
        <w:t>8. Lifetime Projection Engine and Discounting</w:t>
      </w:r>
    </w:p>
    <w:p>
      <w:pPr>
        <w:pStyle w:val="BodyText"/>
      </w:pPr>
      <w:r>
        <w:t>9. Macroeconomic Scenarios and Forecast Integration</w:t>
      </w:r>
    </w:p>
    <w:p>
      <w:pPr>
        <w:pStyle w:val="BodyText"/>
      </w:pPr>
      <w:r>
        <w:t>10. Calibration, Benchmarking, and Development Testing</w:t>
      </w:r>
    </w:p>
    <w:p>
      <w:pPr>
        <w:pStyle w:val="BodyText"/>
      </w:pPr>
      <w:r>
        <w:t>11. Key Assumptions, Limitations, and Appropriate Use</w:t>
      </w:r>
    </w:p>
    <w:p>
      <w:pPr>
        <w:pStyle w:val="BodyText"/>
      </w:pPr>
      <w:r>
        <w:t>12. Appendices</w:t>
      </w:r>
    </w:p>
    <w:p>
      <w:r>
        <w:br w:type="page"/>
      </w:r>
    </w:p>
    <w:p>
      <w:pPr>
        <w:pStyle w:val="Heading1"/>
      </w:pPr>
      <w:r>
        <w:t>1. Overview</w:t>
      </w:r>
    </w:p>
    <w:p>
      <w:pPr>
        <w:pStyle w:val="BodyText"/>
      </w:pPr>
      <w:r>
        <w:rPr>
          <w:b/>
        </w:rPr>
        <w:t xml:space="preserve">Purpose. </w:t>
      </w:r>
      <w:r>
        <w:t>This report describes the design and development of the Northstar CECL Suite v4.2, a modular expected credit loss (ECL) modeling framework intended to support Current Expected Credit Loss (CECL) allowance estimation for retail and small-business loan portfolios. The report is written in a vendor technical style and summarizes model methodology, development decisions, testing, and known limitations.</w:t>
      </w:r>
    </w:p>
    <w:p>
      <w:pPr>
        <w:pStyle w:val="BodyText"/>
      </w:pPr>
      <w:r>
        <w:rPr>
          <w:b/>
        </w:rPr>
        <w:t xml:space="preserve">Scope. </w:t>
      </w:r>
      <w:r>
        <w:t>The CECL Suite supports amortizing and revolving products with monthly projections to contractual maturity (or behavioral maturity where applicable). The framework is designed to be configurable by product, segment, and portfolio-specific policy choices (e.g., reversion horizon, scenario weighting).</w:t>
      </w:r>
    </w:p>
    <w:p>
      <w:pPr>
        <w:pStyle w:val="Heading2"/>
      </w:pPr>
      <w:r>
        <w:t>1.1 Deliverables and Model Outputs</w:t>
      </w:r>
    </w:p>
    <w:p>
      <w:pPr>
        <w:pStyle w:val="ListBullet"/>
      </w:pPr>
      <w:r>
        <w:t>Primary output: Lifetime expected credit loss (ECL) at instrument level and aggregated by portfolio/segment.</w:t>
      </w:r>
    </w:p>
    <w:p>
      <w:pPr>
        <w:pStyle w:val="ListBullet"/>
      </w:pPr>
      <w:r>
        <w:t>Supporting outputs: 12-month PD, lifetime PD term structure, LGD term structure, EAD/CCF projections, prepayment curves, discount factors.</w:t>
      </w:r>
    </w:p>
    <w:p>
      <w:pPr>
        <w:pStyle w:val="ListBullet"/>
      </w:pPr>
      <w:r>
        <w:t>Audit artifacts: data lineage logs, model run metadata, scenario set identifiers, and reproducible configuration snapshots.</w:t>
      </w:r>
    </w:p>
    <w:p>
      <w:pPr>
        <w:pStyle w:val="Heading2"/>
      </w:pPr>
      <w:r>
        <w:t>1.2 Intended Use and Non-Use</w:t>
      </w:r>
    </w:p>
    <w:p>
      <w:pPr>
        <w:pStyle w:val="BodyText"/>
      </w:pPr>
      <w:r>
        <w:t>The CECL Suite is designed to support financial reporting and management insight for allowance estimation. It is not designed for real-time underwriting decisions, fraud detection, or loan-level pricing. Use outside allowance estimation should be assessed under the client model governance process.</w:t>
      </w:r>
    </w:p>
    <w:p>
      <w:pPr>
        <w:pStyle w:val="Heading2"/>
      </w:pPr>
      <w:r>
        <w:t>1.3 Model Family and Components</w:t>
      </w:r>
    </w:p>
    <w:p>
      <w:pPr>
        <w:pStyle w:val="BodyText"/>
      </w:pPr>
      <w:r>
        <w:t>The CECL Suite is a model family consisting of (i) segmentation, (ii) PD estimation, (iii) LGD and recovery estimation, (iv) EAD and utilization estimation (revolving products), (v) prepayment estimation, and (vi) a lifetime projection and discounting engine. The suite is designed to allow component substitution (e.g., roll-rate PD in place of logistic PD) where portfolio characteristics warrant.</w:t>
      </w:r>
    </w:p>
    <w:p/>
    <w:p>
      <w:pPr>
        <w:pStyle w:val="Heading3"/>
      </w:pPr>
      <w:r>
        <w:t>Exhibit 1: Architecture Overview</w:t>
      </w:r>
    </w:p>
    <w:p>
      <w:r>
        <w:drawing>
          <wp:inline xmlns:a="http://schemas.openxmlformats.org/drawingml/2006/main" xmlns:pic="http://schemas.openxmlformats.org/drawingml/2006/picture">
            <wp:extent cx="6217920" cy="2114093"/>
            <wp:docPr id="1" name="Picture 1"/>
            <wp:cNvGraphicFramePr>
              <a:graphicFrameLocks noChangeAspect="1"/>
            </wp:cNvGraphicFramePr>
            <a:graphic>
              <a:graphicData uri="http://schemas.openxmlformats.org/drawingml/2006/picture">
                <pic:pic>
                  <pic:nvPicPr>
                    <pic:cNvPr id="0" name="cecl_architecture.png"/>
                    <pic:cNvPicPr/>
                  </pic:nvPicPr>
                  <pic:blipFill>
                    <a:blip r:embed="rId11"/>
                    <a:stretch>
                      <a:fillRect/>
                    </a:stretch>
                  </pic:blipFill>
                  <pic:spPr>
                    <a:xfrm>
                      <a:off x="0" y="0"/>
                      <a:ext cx="6217920" cy="2114093"/>
                    </a:xfrm>
                    <a:prstGeom prst="rect"/>
                  </pic:spPr>
                </pic:pic>
              </a:graphicData>
            </a:graphic>
          </wp:inline>
        </w:drawing>
      </w:r>
    </w:p>
    <w:p>
      <w:r>
        <w:br w:type="page"/>
      </w:r>
    </w:p>
    <w:p>
      <w:pPr>
        <w:pStyle w:val="Heading2"/>
      </w:pPr>
      <w:r>
        <w:t>1.4 Required Data Inputs and ETL Overview</w:t>
      </w:r>
    </w:p>
    <w:p>
      <w:pPr>
        <w:pStyle w:val="BodyText"/>
      </w:pPr>
      <w:r>
        <w:t xml:space="preserve">The CECL Suite consumes client-provided loan-level data files and macroeconomic scenario files. Loan-level input files are expected as standardized flat files (CSV or pipe-delimited) conforming to the Northstar Input Specification (document NA-SRB-UG-4.2). Required fields include account identifier (masked/tokenized), product type, origination date, contractual maturity, current balance, credit line (revolving), days-past-due status, internal risk grade, collateral type and estimated value (secured), effective interest rate or contractual rate, and charge-off date and amount where applicable. The full field catalog with definitions, data types, allowable values, and mapping guidance is maintained in the Input Specification and the Example Variable Catalog (Appendix B).</w:t>
      </w:r>
    </w:p>
    <w:p>
      <w:pPr>
        <w:pStyle w:val="BodyText"/>
      </w:pPr>
      <w:r>
        <w:t xml:space="preserve">Client institutions are expected to extract input data from their core loan origination and servicing systems (e.g., core banking platform, loan servicing system, credit bureau feed) and transmit the standardized files to the Northstar secure processing environment via encrypted SFTP prior to each model run cycle. The extraction process, including reconciliation of record counts and control totals to source system reports, is the responsibility of the client and should be documented as part of the client’s operating procedures. Northstar provides a pre-run data validation report that flags input quality exceptions prior to model execution.</w:t>
      </w:r>
    </w:p>
    <w:p>
      <w:pPr>
        <w:pStyle w:val="BodyText"/>
      </w:pPr>
      <w:r>
        <w:t xml:space="preserve">Macroeconomic scenario files are provided by the client or sourced from a Northstar-approved scenario provider. Each scenario file contains projected values of the macro variables listed in Section 9.1 (unemployment rate, GDP growth, HPI, used vehicle price index, and interest rate level) at monthly frequency over the forecast horizon, with a single terminal long-run value for each variable used during the reversion period. Scenario file version control and approval are the responsibility of the client governance process.</w:t>
      </w:r>
    </w:p>
    <w:p>
      <w:pPr>
        <w:pStyle w:val="Heading1"/>
      </w:pPr>
      <w:r>
        <w:t>2. Conceptual Framework</w:t>
      </w:r>
    </w:p>
    <w:p>
      <w:pPr>
        <w:pStyle w:val="BodyText"/>
      </w:pPr>
      <w:r>
        <w:rPr>
          <w:b/>
        </w:rPr>
        <w:t xml:space="preserve">CECL measurement objective. </w:t>
      </w:r>
      <w:r>
        <w:t>CECL requires recognition of expected credit losses over the contractual term of financial assets, considering historical experience, current conditions, and reasonable and supportable forecasts. The CECL Suite operationalizes this objective via a monthly cash-flow projection approach that combines default and prepayment dynamics with exposure and recovery expectations.</w:t>
      </w:r>
    </w:p>
    <w:p>
      <w:pPr>
        <w:pStyle w:val="Heading2"/>
      </w:pPr>
      <w:r>
        <w:t>2.1 Core Mechanics (Monthly Projection)</w:t>
      </w:r>
    </w:p>
    <w:p>
      <w:pPr>
        <w:pStyle w:val="BodyText"/>
      </w:pPr>
      <w:r>
        <w:t>For each instrument i and projection month t, the expected credit loss contribution is computed as:</w:t>
      </w:r>
    </w:p>
    <w:p>
      <w:pPr>
        <w:pStyle w:val="BodyText"/>
      </w:pPr>
      <w:r>
        <w:t>ECL_i = sum_t [ DF_t * EAD_i,t * PD_i,t * LGD_i,t ]</w:t>
      </w:r>
    </w:p>
    <w:p>
      <w:pPr>
        <w:pStyle w:val="BodyText"/>
      </w:pPr>
      <w:r>
        <w:t>where DF_t is the discount factor based on the asset's effective interest rate (EIR) or an approved proxy, EAD_i,t is projected exposure, PD_i,t is marginal default probability, and LGD_i,t is loss severity conditional on default.</w:t>
      </w:r>
    </w:p>
    <w:p>
      <w:pPr>
        <w:pStyle w:val="Heading2"/>
      </w:pPr>
      <w:r>
        <w:t>2.2 Reasonable and Supportable Forecasts</w:t>
      </w:r>
    </w:p>
    <w:p>
      <w:pPr>
        <w:pStyle w:val="BodyText"/>
      </w:pPr>
      <w:r>
        <w:t>The framework distinguishes between: (i) a reasonable and supportable forecast period where macroeconomic variables influence PD, LGD, and (for revolving) utilization; and (ii) a reversion period where forecasts transition to long-run average assumptions. Client-configurable parameters include forecast horizon length, reversion method (linear or step), and long-run anchors.</w:t>
      </w:r>
    </w:p>
    <w:p>
      <w:pPr>
        <w:pStyle w:val="Heading2"/>
      </w:pPr>
      <w:r>
        <w:t>2.3 Management Adjustments (Overlays)</w:t>
      </w:r>
    </w:p>
    <w:p>
      <w:pPr>
        <w:pStyle w:val="BodyText"/>
      </w:pPr>
      <w:r>
        <w:t>The CECL Suite includes optional overlay mechanisms that apply multiplicative or additive adjustments to PD and/or LGD term structures. Overlays are not automatically recommended by the system; rather, they are applied based on documented management judgment and are tracked as separate run metadata to support governance and monitoring.</w:t>
      </w:r>
    </w:p>
    <w:p>
      <w:pPr>
        <w:pStyle w:val="Heading2"/>
      </w:pPr>
      <w:r>
        <w:t>2.4 Conceptual Alternatives Considered</w:t>
      </w:r>
    </w:p>
    <w:tbl>
      <w:tblPr>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Description</w:t>
            </w:r>
          </w:p>
        </w:tc>
        <w:tc>
          <w:tcPr>
            <w:tcW w:type="dxa" w:w="2880"/>
          </w:tcPr>
          <w:p>
            <w:r>
              <w:t>Rationale / Considerations</w:t>
            </w:r>
          </w:p>
        </w:tc>
      </w:tr>
      <w:tr>
        <w:tc>
          <w:tcPr>
            <w:tcW w:type="dxa" w:w="2880"/>
          </w:tcPr>
          <w:p>
            <w:r>
              <w:t>Vintage loss-rate method</w:t>
            </w:r>
          </w:p>
        </w:tc>
        <w:tc>
          <w:tcPr>
            <w:tcW w:type="dxa" w:w="2880"/>
          </w:tcPr>
          <w:p>
            <w:r>
              <w:t>Summary method family used in industry practice.</w:t>
            </w:r>
          </w:p>
        </w:tc>
        <w:tc>
          <w:tcPr>
            <w:tcW w:type="dxa" w:w="2880"/>
          </w:tcPr>
          <w:p>
            <w:r>
              <w:t>Useful for stable portfolios; limited in capturing rapid shifts and term structure for longer-dated assets.</w:t>
            </w:r>
          </w:p>
        </w:tc>
      </w:tr>
      <w:tr>
        <w:tc>
          <w:tcPr>
            <w:tcW w:type="dxa" w:w="2880"/>
          </w:tcPr>
          <w:p>
            <w:r>
              <w:t>Roll-rate / transition matrix approach</w:t>
            </w:r>
          </w:p>
        </w:tc>
        <w:tc>
          <w:tcPr>
            <w:tcW w:type="dxa" w:w="2880"/>
          </w:tcPr>
          <w:p>
            <w:r>
              <w:t>Summary method family used in industry practice.</w:t>
            </w:r>
          </w:p>
        </w:tc>
        <w:tc>
          <w:tcPr>
            <w:tcW w:type="dxa" w:w="2880"/>
          </w:tcPr>
          <w:p>
            <w:r>
              <w:t>Interpretable; strong fit for delinquency-driven portfolios; requires stable delinquency reporting.</w:t>
            </w:r>
          </w:p>
        </w:tc>
      </w:tr>
      <w:tr>
        <w:tc>
          <w:tcPr>
            <w:tcW w:type="dxa" w:w="2880"/>
          </w:tcPr>
          <w:p>
            <w:r>
              <w:t>PD/LGD/EAD cash-flow approach (selected)</w:t>
            </w:r>
          </w:p>
        </w:tc>
        <w:tc>
          <w:tcPr>
            <w:tcW w:type="dxa" w:w="2880"/>
          </w:tcPr>
          <w:p>
            <w:r>
              <w:t>Summary method family used in industry practice.</w:t>
            </w:r>
          </w:p>
        </w:tc>
        <w:tc>
          <w:tcPr>
            <w:tcW w:type="dxa" w:w="2880"/>
          </w:tcPr>
          <w:p>
            <w:r>
              <w:t>Provides modularity and term structure; supports macro integration and component diagnostics.</w:t>
            </w:r>
          </w:p>
        </w:tc>
      </w:tr>
    </w:tbl>
    <w:p>
      <w:r>
        <w:br w:type="page"/>
      </w:r>
    </w:p>
    <w:p>
      <w:pPr>
        <w:pStyle w:val="Heading1"/>
      </w:pPr>
      <w:r>
        <w:t>3. Model Architecture</w:t>
      </w:r>
    </w:p>
    <w:p>
      <w:pPr>
        <w:pStyle w:val="BodyText"/>
      </w:pPr>
      <w:r>
        <w:t>The CECL Suite is implemented as a parameter-driven engine. Model configuration is stored as a versioned set of tables (segments, variable definitions, scenario sets, and run controls). The engine executes in a deterministic manner given identical inputs and configuration.</w:t>
      </w:r>
    </w:p>
    <w:p>
      <w:pPr>
        <w:pStyle w:val="Heading2"/>
      </w:pPr>
      <w:r>
        <w:t>3.1 Component Interfaces</w:t>
      </w:r>
    </w:p>
    <w:p>
      <w:pPr>
        <w:pStyle w:val="BodyText"/>
      </w:pPr>
      <w:r>
        <w:t>Each component consumes standardized intermediate tables and produces standardized outputs. This design enables substitution of components without rewriting downstream processing. For example, a roll-rate PD module can feed the lifetime projection engine in place of a logistic PD module.</w:t>
      </w:r>
    </w:p>
    <w:p>
      <w:pPr>
        <w:pStyle w:val="Heading2"/>
      </w:pPr>
      <w:r>
        <w:t>3.2 Key Configuration Parameters (Examples)</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Notes</w:t>
            </w:r>
          </w:p>
        </w:tc>
      </w:tr>
      <w:tr>
        <w:tc>
          <w:tcPr>
            <w:tcW w:type="dxa" w:w="4320"/>
          </w:tcPr>
          <w:p>
            <w:r>
              <w:t>Forecast horizon</w:t>
            </w:r>
          </w:p>
        </w:tc>
        <w:tc>
          <w:tcPr>
            <w:tcW w:type="dxa" w:w="4320"/>
          </w:tcPr>
          <w:p>
            <w:r>
              <w:t>12 to 24 months typical; configurable by portfolio; controls macro influence window.</w:t>
            </w:r>
          </w:p>
        </w:tc>
      </w:tr>
      <w:tr>
        <w:tc>
          <w:tcPr>
            <w:tcW w:type="dxa" w:w="4320"/>
          </w:tcPr>
          <w:p>
            <w:r>
              <w:t>Reversion method</w:t>
            </w:r>
          </w:p>
        </w:tc>
        <w:tc>
          <w:tcPr>
            <w:tcW w:type="dxa" w:w="4320"/>
          </w:tcPr>
          <w:p>
            <w:r>
              <w:t>Linear transition to long-run mean; optional step reversion.</w:t>
            </w:r>
          </w:p>
        </w:tc>
      </w:tr>
      <w:tr>
        <w:tc>
          <w:tcPr>
            <w:tcW w:type="dxa" w:w="4320"/>
          </w:tcPr>
          <w:p>
            <w:r>
              <w:t>Scenario weighting</w:t>
            </w:r>
          </w:p>
        </w:tc>
        <w:tc>
          <w:tcPr>
            <w:tcW w:type="dxa" w:w="4320"/>
          </w:tcPr>
          <w:p>
            <w:r>
              <w:t>User-defined weights across baseline/adverse/severe scenarios (sum to 1.0).</w:t>
            </w:r>
          </w:p>
        </w:tc>
      </w:tr>
      <w:tr>
        <w:tc>
          <w:tcPr>
            <w:tcW w:type="dxa" w:w="4320"/>
          </w:tcPr>
          <w:p>
            <w:r>
              <w:t>Behavioral maturity (revolving)</w:t>
            </w:r>
          </w:p>
        </w:tc>
        <w:tc>
          <w:tcPr>
            <w:tcW w:type="dxa" w:w="4320"/>
          </w:tcPr>
          <w:p>
            <w:r>
              <w:t>Optional cap on projection term; based on historical account survival.</w:t>
            </w:r>
          </w:p>
        </w:tc>
      </w:tr>
      <w:tr>
        <w:tc>
          <w:tcPr>
            <w:tcW w:type="dxa" w:w="4320"/>
          </w:tcPr>
          <w:p>
            <w:r>
              <w:t>Prepayment treatment</w:t>
            </w:r>
          </w:p>
        </w:tc>
        <w:tc>
          <w:tcPr>
            <w:tcW w:type="dxa" w:w="4320"/>
          </w:tcPr>
          <w:p>
            <w:r>
              <w:t>Explicit prepayment curve vs implicit runoff via amortization; product-dependent.</w:t>
            </w:r>
          </w:p>
        </w:tc>
      </w:tr>
    </w:tbl>
    <w:p>
      <w:pPr>
        <w:pStyle w:val="Heading2"/>
      </w:pPr>
      <w:r>
        <w:t>3.3 Projection Timeline</w:t>
      </w:r>
    </w:p>
    <w:p>
      <w:r>
        <w:drawing>
          <wp:inline xmlns:a="http://schemas.openxmlformats.org/drawingml/2006/main" xmlns:pic="http://schemas.openxmlformats.org/drawingml/2006/picture">
            <wp:extent cx="6217920" cy="1367942"/>
            <wp:docPr id="2" name="Picture 2"/>
            <wp:cNvGraphicFramePr>
              <a:graphicFrameLocks noChangeAspect="1"/>
            </wp:cNvGraphicFramePr>
            <a:graphic>
              <a:graphicData uri="http://schemas.openxmlformats.org/drawingml/2006/picture">
                <pic:pic>
                  <pic:nvPicPr>
                    <pic:cNvPr id="0" name="cecl_timeline.png"/>
                    <pic:cNvPicPr/>
                  </pic:nvPicPr>
                  <pic:blipFill>
                    <a:blip r:embed="rId12"/>
                    <a:stretch>
                      <a:fillRect/>
                    </a:stretch>
                  </pic:blipFill>
                  <pic:spPr>
                    <a:xfrm>
                      <a:off x="0" y="0"/>
                      <a:ext cx="6217920" cy="1367942"/>
                    </a:xfrm>
                    <a:prstGeom prst="rect"/>
                  </pic:spPr>
                </pic:pic>
              </a:graphicData>
            </a:graphic>
          </wp:inline>
        </w:drawing>
      </w:r>
    </w:p>
    <w:p>
      <w:pPr>
        <w:pStyle w:val="BodyText"/>
      </w:pPr>
      <w:r>
        <w:t>Observation windows used for estimation and calibration are portfolio-specific, but a typical configuration uses 7 to 10 years of history including at least one stress period where available. The suite retains full lineage of observation windows used for each run.</w:t>
      </w:r>
    </w:p>
    <w:p>
      <w:r>
        <w:br w:type="page"/>
      </w:r>
    </w:p>
    <w:p>
      <w:pPr>
        <w:pStyle w:val="Heading1"/>
      </w:pPr>
      <w:r>
        <w:t>4. Portfolio Segmentation</w:t>
      </w:r>
    </w:p>
    <w:p>
      <w:pPr>
        <w:pStyle w:val="BodyText"/>
      </w:pPr>
      <w:r>
        <w:t>Segmentation is a primary driver of model accuracy and interpretability. The CECL Suite supports hierarchical segmentation where a portfolio is split into segments with materially different risk dynamics and loss behavior. Segmentation can be customer-based, loan-based, or both, depending on product.</w:t>
      </w:r>
    </w:p>
    <w:p>
      <w:pPr>
        <w:pStyle w:val="Heading2"/>
      </w:pPr>
      <w:r>
        <w:t>4.1 Candidate Segmentation Variables</w:t>
      </w:r>
    </w:p>
    <w:p>
      <w:pPr>
        <w:pStyle w:val="ListBullet"/>
      </w:pPr>
      <w:r>
        <w:t>Product type (e.g., auto, credit card, HELOC)</w:t>
      </w:r>
    </w:p>
    <w:p>
      <w:pPr>
        <w:pStyle w:val="ListBullet"/>
      </w:pPr>
      <w:r>
        <w:t>Risk grade / internal rating</w:t>
      </w:r>
    </w:p>
    <w:p>
      <w:pPr>
        <w:pStyle w:val="ListBullet"/>
      </w:pPr>
      <w:r>
        <w:t>Collateral type and lien position (secured products)</w:t>
      </w:r>
    </w:p>
    <w:p>
      <w:pPr>
        <w:pStyle w:val="ListBullet"/>
      </w:pPr>
      <w:r>
        <w:t>Origination channel (branch, digital, indirect)</w:t>
      </w:r>
    </w:p>
    <w:p>
      <w:pPr>
        <w:pStyle w:val="ListBullet"/>
      </w:pPr>
      <w:r>
        <w:t>Vintage / origination year band</w:t>
      </w:r>
    </w:p>
    <w:p>
      <w:pPr>
        <w:pStyle w:val="ListBullet"/>
      </w:pPr>
      <w:r>
        <w:t>Geography (state / MSA)</w:t>
      </w:r>
    </w:p>
    <w:p>
      <w:pPr>
        <w:pStyle w:val="ListBullet"/>
      </w:pPr>
      <w:r>
        <w:t>FICO / bureau score bands</w:t>
      </w:r>
    </w:p>
    <w:p>
      <w:pPr>
        <w:pStyle w:val="ListBullet"/>
      </w:pPr>
      <w:r>
        <w:t>Utilization bands (revolving)</w:t>
      </w:r>
    </w:p>
    <w:p>
      <w:pPr>
        <w:pStyle w:val="Heading2"/>
      </w:pPr>
      <w:r>
        <w:t>4.2 Segmentation Method (Hybrid Statistical + Business)</w:t>
      </w:r>
    </w:p>
    <w:p>
      <w:pPr>
        <w:pStyle w:val="BodyText"/>
      </w:pPr>
      <w:r>
        <w:t>Northstar uses a hybrid approach: (i) exploratory analysis of loss and default heterogeneity across candidate splits; (ii) tree-based segmentation candidates (e.g., CHAID or CART) constrained by minimum segment size; and (iii) business review for operational interpretability and stability.</w:t>
      </w:r>
    </w:p>
    <w:p>
      <w:pPr>
        <w:pStyle w:val="Heading2"/>
      </w:pPr>
      <w:r>
        <w:t>4.3 Segment Stability Assessment</w:t>
      </w:r>
    </w:p>
    <w:p>
      <w:pPr>
        <w:pStyle w:val="BodyText"/>
      </w:pPr>
      <w:r>
        <w:t>Segment stability is evaluated using a three-part scorecard: (a) population stability (PSI) for key drivers; (b) loss rate stability across time; and (c) segment migration rates where grades/tiers change. Segments failing stability thresholds are reviewed for consolidation or redefinition.</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Definition</w:t>
            </w:r>
          </w:p>
        </w:tc>
        <w:tc>
          <w:tcPr>
            <w:tcW w:type="dxa" w:w="2160"/>
          </w:tcPr>
          <w:p>
            <w:r>
              <w:t>Typical Threshold</w:t>
            </w:r>
          </w:p>
        </w:tc>
        <w:tc>
          <w:tcPr>
            <w:tcW w:type="dxa" w:w="2160"/>
          </w:tcPr>
          <w:p>
            <w:r>
              <w:t>Action if Breached</w:t>
            </w:r>
          </w:p>
        </w:tc>
      </w:tr>
      <w:tr>
        <w:tc>
          <w:tcPr>
            <w:tcW w:type="dxa" w:w="2160"/>
          </w:tcPr>
          <w:p>
            <w:r>
              <w:t>PSI (key driver)</w:t>
            </w:r>
          </w:p>
        </w:tc>
        <w:tc>
          <w:tcPr>
            <w:tcW w:type="dxa" w:w="2160"/>
          </w:tcPr>
          <w:p>
            <w:r>
              <w:t>Population shift vs. baseline period</w:t>
            </w:r>
          </w:p>
        </w:tc>
        <w:tc>
          <w:tcPr>
            <w:tcW w:type="dxa" w:w="2160"/>
          </w:tcPr>
          <w:p>
            <w:r>
              <w:t>&lt; 0.10 (stable); 0.10-0.25 (watch); &gt;0.25 (material)</w:t>
            </w:r>
          </w:p>
        </w:tc>
        <w:tc>
          <w:tcPr>
            <w:tcW w:type="dxa" w:w="2160"/>
          </w:tcPr>
          <w:p>
            <w:r>
              <w:t>Investigate driver mapping; consider re-segmentation</w:t>
            </w:r>
          </w:p>
        </w:tc>
      </w:tr>
      <w:tr>
        <w:tc>
          <w:tcPr>
            <w:tcW w:type="dxa" w:w="2160"/>
          </w:tcPr>
          <w:p>
            <w:r>
              <w:t>Loss-rate drift</w:t>
            </w:r>
          </w:p>
        </w:tc>
        <w:tc>
          <w:tcPr>
            <w:tcW w:type="dxa" w:w="2160"/>
          </w:tcPr>
          <w:p>
            <w:r>
              <w:t>12-mo net loss rate change YoY</w:t>
            </w:r>
          </w:p>
        </w:tc>
        <w:tc>
          <w:tcPr>
            <w:tcW w:type="dxa" w:w="2160"/>
          </w:tcPr>
          <w:p>
            <w:r>
              <w:t>&gt; 25% relative change</w:t>
            </w:r>
          </w:p>
        </w:tc>
        <w:tc>
          <w:tcPr>
            <w:tcW w:type="dxa" w:w="2160"/>
          </w:tcPr>
          <w:p>
            <w:r>
              <w:t>Review macro layer and/or segment definition</w:t>
            </w:r>
          </w:p>
        </w:tc>
      </w:tr>
      <w:tr>
        <w:tc>
          <w:tcPr>
            <w:tcW w:type="dxa" w:w="2160"/>
          </w:tcPr>
          <w:p>
            <w:r>
              <w:t>Migration rate</w:t>
            </w:r>
          </w:p>
        </w:tc>
        <w:tc>
          <w:tcPr>
            <w:tcW w:type="dxa" w:w="2160"/>
          </w:tcPr>
          <w:p>
            <w:r>
              <w:t>Annual % moving between grades/tiers</w:t>
            </w:r>
          </w:p>
        </w:tc>
        <w:tc>
          <w:tcPr>
            <w:tcW w:type="dxa" w:w="2160"/>
          </w:tcPr>
          <w:p>
            <w:r>
              <w:t>&gt; 30% moved</w:t>
            </w:r>
          </w:p>
        </w:tc>
        <w:tc>
          <w:tcPr>
            <w:tcW w:type="dxa" w:w="2160"/>
          </w:tcPr>
          <w:p>
            <w:r>
              <w:t>Assess rating governance; treat grades as time-varying covariates</w:t>
            </w:r>
          </w:p>
        </w:tc>
      </w:tr>
    </w:tbl>
    <w:p>
      <w:r>
        <w:br w:type="page"/>
      </w:r>
    </w:p>
    <w:p>
      <w:pPr>
        <w:pStyle w:val="Heading1"/>
      </w:pPr>
      <w:r>
        <w:t>5. Probability of Default (PD) Methodology</w:t>
      </w:r>
    </w:p>
    <w:p>
      <w:pPr>
        <w:pStyle w:val="BodyText"/>
      </w:pPr>
      <w:r>
        <w:t>The CECL Suite supports multiple PD approaches. The default configuration uses a 12-month PD model estimated at the account level, then converted to a lifetime term structure via survival-style conversion and monthly hazard shaping. For delinquency-driven products, a roll-rate alternative is supported.</w:t>
      </w:r>
    </w:p>
    <w:p>
      <w:pPr>
        <w:pStyle w:val="Heading2"/>
      </w:pPr>
      <w:r>
        <w:t>5.1 Default Definition and Event Window</w:t>
      </w:r>
    </w:p>
    <w:p>
      <w:pPr>
        <w:pStyle w:val="BodyText"/>
      </w:pPr>
      <w:r>
        <w:t>Default is defined as a charge-off event or a sustained delinquency state consistent with client policy (e.g., 90+ DPD with no curing). The estimation target is a 12-month default indicator using forward-looking observation windows. Event definitions are configurable and version-controlled within the CECL Suite.</w:t>
      </w:r>
    </w:p>
    <w:p>
      <w:pPr>
        <w:pStyle w:val="Heading2"/>
      </w:pPr>
      <w:r>
        <w:t>5.2 Logistic PD (Primary)</w:t>
      </w:r>
    </w:p>
    <w:p>
      <w:pPr>
        <w:pStyle w:val="BodyText"/>
      </w:pPr>
      <w:r>
        <w:t>The logistic PD model estimates the probability of default within 12 months as a function of borrower, loan, and macroeconomic covariates. Variables are selected using a combination of univariate screening, correlation pruning, and stepwise selection with business constraints.</w:t>
      </w:r>
    </w:p>
    <w:p>
      <w:pPr>
        <w:pStyle w:val="BodyText"/>
      </w:pPr>
      <w:r>
        <w:t>logit(PD_12m) = β0 + Σk βk * Xk + Σj γj * Macro_j</w:t>
      </w:r>
    </w:p>
    <w:p>
      <w:pPr>
        <w:pStyle w:val="Heading2"/>
      </w:pPr>
      <w:r>
        <w:t>5.3 Variable Handling and Transformations</w:t>
      </w:r>
    </w:p>
    <w:p>
      <w:pPr>
        <w:pStyle w:val="BodyText"/>
      </w:pPr>
      <w:r>
        <w:t>Continuous variables are winsorized at portfolio-specific percentiles (typically 1st/99th) and transformed using log or spline forms where appropriate. Missing values are handled via: (i) explicit missing indicators for informative missingness; and (ii) imputation to segment medians when missingness is operational.</w:t>
      </w:r>
    </w:p>
    <w:p>
      <w:pPr>
        <w:pStyle w:val="Heading2"/>
      </w:pPr>
      <w:r>
        <w:t>5.4 Regularization and Overfitting Controls</w:t>
      </w:r>
    </w:p>
    <w:p>
      <w:pPr>
        <w:pStyle w:val="BodyText"/>
      </w:pPr>
      <w:r>
        <w:t>To reduce overfitting risk, Northstar applies out-of-time validation and considers L2 (ridge) regularization when the candidate feature set is large. Coefficient stability and sign consistency are required unless an exception is documented.</w:t>
      </w:r>
    </w:p>
    <w:p>
      <w:pPr>
        <w:pStyle w:val="Heading2"/>
      </w:pPr>
      <w:r>
        <w:t>5.5 Roll-Rate PD (Optional Alternative)</w:t>
      </w:r>
    </w:p>
    <w:p>
      <w:pPr>
        <w:pStyle w:val="BodyText"/>
      </w:pPr>
      <w:r>
        <w:t>For portfolios with consistent delinquency reporting and sufficient delinquency history, PD can be estimated via transition matrices across delinquency states. The roll-rate approach is interpretable and can be robust in low-default environments when combined with smoothing and macro adjustments.</w:t>
      </w:r>
    </w:p>
    <w:p>
      <w:pPr>
        <w:pStyle w:val="Heading2"/>
      </w:pPr>
      <w:r>
        <w:t>5.6 Illustrative Development Diagnostics (Example)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Segment</w:t>
            </w:r>
          </w:p>
        </w:tc>
        <w:tc>
          <w:tcPr>
            <w:tcW w:type="dxa" w:w="1728"/>
          </w:tcPr>
          <w:p>
            <w:r>
              <w:t>Obs (Acct-Months)</w:t>
            </w:r>
          </w:p>
        </w:tc>
        <w:tc>
          <w:tcPr>
            <w:tcW w:type="dxa" w:w="1728"/>
          </w:tcPr>
          <w:p>
            <w:r>
              <w:t>Default Rate (12m)</w:t>
            </w:r>
          </w:p>
        </w:tc>
        <w:tc>
          <w:tcPr>
            <w:tcW w:type="dxa" w:w="1728"/>
          </w:tcPr>
          <w:p>
            <w:r>
              <w:t>AUC (OOT)</w:t>
            </w:r>
          </w:p>
        </w:tc>
        <w:tc>
          <w:tcPr>
            <w:tcW w:type="dxa" w:w="1728"/>
          </w:tcPr>
          <w:p>
            <w:r>
              <w:t>KS (OOT)</w:t>
            </w:r>
          </w:p>
        </w:tc>
      </w:tr>
      <w:tr>
        <w:tc>
          <w:tcPr>
            <w:tcW w:type="dxa" w:w="1728"/>
          </w:tcPr>
          <w:p>
            <w:r>
              <w:t>Auto - Prime</w:t>
            </w:r>
          </w:p>
        </w:tc>
        <w:tc>
          <w:tcPr>
            <w:tcW w:type="dxa" w:w="1728"/>
          </w:tcPr>
          <w:p>
            <w:r>
              <w:t>1,240,000</w:t>
            </w:r>
          </w:p>
        </w:tc>
        <w:tc>
          <w:tcPr>
            <w:tcW w:type="dxa" w:w="1728"/>
          </w:tcPr>
          <w:p>
            <w:r>
              <w:t>0.85%</w:t>
            </w:r>
          </w:p>
        </w:tc>
        <w:tc>
          <w:tcPr>
            <w:tcW w:type="dxa" w:w="1728"/>
          </w:tcPr>
          <w:p>
            <w:r>
              <w:t>0.74</w:t>
            </w:r>
          </w:p>
        </w:tc>
        <w:tc>
          <w:tcPr>
            <w:tcW w:type="dxa" w:w="1728"/>
          </w:tcPr>
          <w:p>
            <w:r>
              <w:t>0.35</w:t>
            </w:r>
          </w:p>
        </w:tc>
      </w:tr>
      <w:tr>
        <w:tc>
          <w:tcPr>
            <w:tcW w:type="dxa" w:w="1728"/>
          </w:tcPr>
          <w:p>
            <w:r>
              <w:t>Auto - Near Prime</w:t>
            </w:r>
          </w:p>
        </w:tc>
        <w:tc>
          <w:tcPr>
            <w:tcW w:type="dxa" w:w="1728"/>
          </w:tcPr>
          <w:p>
            <w:r>
              <w:t>680,000</w:t>
            </w:r>
          </w:p>
        </w:tc>
        <w:tc>
          <w:tcPr>
            <w:tcW w:type="dxa" w:w="1728"/>
          </w:tcPr>
          <w:p>
            <w:r>
              <w:t>2.10%</w:t>
            </w:r>
          </w:p>
        </w:tc>
        <w:tc>
          <w:tcPr>
            <w:tcW w:type="dxa" w:w="1728"/>
          </w:tcPr>
          <w:p>
            <w:r>
              <w:t>0.71</w:t>
            </w:r>
          </w:p>
        </w:tc>
        <w:tc>
          <w:tcPr>
            <w:tcW w:type="dxa" w:w="1728"/>
          </w:tcPr>
          <w:p>
            <w:r>
              <w:t>0.31</w:t>
            </w:r>
          </w:p>
        </w:tc>
      </w:tr>
      <w:tr>
        <w:tc>
          <w:tcPr>
            <w:tcW w:type="dxa" w:w="1728"/>
          </w:tcPr>
          <w:p>
            <w:r>
              <w:t>Credit Card - Prime</w:t>
            </w:r>
          </w:p>
        </w:tc>
        <w:tc>
          <w:tcPr>
            <w:tcW w:type="dxa" w:w="1728"/>
          </w:tcPr>
          <w:p>
            <w:r>
              <w:t>2,050,000</w:t>
            </w:r>
          </w:p>
        </w:tc>
        <w:tc>
          <w:tcPr>
            <w:tcW w:type="dxa" w:w="1728"/>
          </w:tcPr>
          <w:p>
            <w:r>
              <w:t>1.60%</w:t>
            </w:r>
          </w:p>
        </w:tc>
        <w:tc>
          <w:tcPr>
            <w:tcW w:type="dxa" w:w="1728"/>
          </w:tcPr>
          <w:p>
            <w:r>
              <w:t>0.77</w:t>
            </w:r>
          </w:p>
        </w:tc>
        <w:tc>
          <w:tcPr>
            <w:tcW w:type="dxa" w:w="1728"/>
          </w:tcPr>
          <w:p>
            <w:r>
              <w:t>0.38</w:t>
            </w:r>
          </w:p>
        </w:tc>
      </w:tr>
      <w:tr>
        <w:tc>
          <w:tcPr>
            <w:tcW w:type="dxa" w:w="1728"/>
          </w:tcPr>
          <w:p>
            <w:r>
              <w:t>Credit Card - Subprime</w:t>
            </w:r>
          </w:p>
        </w:tc>
        <w:tc>
          <w:tcPr>
            <w:tcW w:type="dxa" w:w="1728"/>
          </w:tcPr>
          <w:p>
            <w:r>
              <w:t>510,000</w:t>
            </w:r>
          </w:p>
        </w:tc>
        <w:tc>
          <w:tcPr>
            <w:tcW w:type="dxa" w:w="1728"/>
          </w:tcPr>
          <w:p>
            <w:r>
              <w:t>6.80%</w:t>
            </w:r>
          </w:p>
        </w:tc>
        <w:tc>
          <w:tcPr>
            <w:tcW w:type="dxa" w:w="1728"/>
          </w:tcPr>
          <w:p>
            <w:r>
              <w:t>0.73</w:t>
            </w:r>
          </w:p>
        </w:tc>
        <w:tc>
          <w:tcPr>
            <w:tcW w:type="dxa" w:w="1728"/>
          </w:tcPr>
          <w:p>
            <w:r>
              <w:t>0.34</w:t>
            </w:r>
          </w:p>
        </w:tc>
      </w:tr>
      <w:tr>
        <w:tc>
          <w:tcPr>
            <w:tcW w:type="dxa" w:w="1728"/>
          </w:tcPr>
          <w:p>
            <w:r>
              <w:t>HELOC</w:t>
            </w:r>
          </w:p>
        </w:tc>
        <w:tc>
          <w:tcPr>
            <w:tcW w:type="dxa" w:w="1728"/>
          </w:tcPr>
          <w:p>
            <w:r>
              <w:t>430,000</w:t>
            </w:r>
          </w:p>
        </w:tc>
        <w:tc>
          <w:tcPr>
            <w:tcW w:type="dxa" w:w="1728"/>
          </w:tcPr>
          <w:p>
            <w:r>
              <w:t>0.65%</w:t>
            </w:r>
          </w:p>
        </w:tc>
        <w:tc>
          <w:tcPr>
            <w:tcW w:type="dxa" w:w="1728"/>
          </w:tcPr>
          <w:p>
            <w:r>
              <w:t>0.70</w:t>
            </w:r>
          </w:p>
        </w:tc>
        <w:tc>
          <w:tcPr>
            <w:tcW w:type="dxa" w:w="1728"/>
          </w:tcPr>
          <w:p>
            <w:r>
              <w:t>0.29</w:t>
            </w:r>
          </w:p>
        </w:tc>
      </w:tr>
    </w:tbl>
    <w:p>
      <w:r>
        <w:br w:type="page"/>
      </w:r>
    </w:p>
    <w:p>
      <w:pPr>
        <w:pStyle w:val="Heading1"/>
      </w:pPr>
      <w:r>
        <w:t>6. Loss Given Default (LGD) and Recovery Modeling</w:t>
      </w:r>
    </w:p>
    <w:p>
      <w:pPr>
        <w:pStyle w:val="BodyText"/>
      </w:pPr>
      <w:r>
        <w:t>LGD is estimated as the discounted severity conditional on default, incorporating recoveries, collateral, workout timelines, and costs. The CECL Suite supports both (i) direct severity modeling and (ii) recovery-curve modeling over time.</w:t>
      </w:r>
    </w:p>
    <w:p>
      <w:pPr>
        <w:pStyle w:val="Heading2"/>
      </w:pPr>
      <w:r>
        <w:t>6.1 LGD Definition</w:t>
      </w:r>
    </w:p>
    <w:p>
      <w:pPr>
        <w:pStyle w:val="BodyText"/>
      </w:pPr>
      <w:r>
        <w:t>LGD is defined as (Charge-off Amount - Present Value of Recoveries) / EAD at Default. Recoveries may include cash recoveries, collateral liquidation proceeds, and third-party reimbursements, net of direct collection costs where available.</w:t>
      </w:r>
    </w:p>
    <w:p>
      <w:pPr>
        <w:pStyle w:val="Heading2"/>
      </w:pPr>
      <w:r>
        <w:t>6.2 Recovery Curve Approach (Secured Products)</w:t>
      </w:r>
    </w:p>
    <w:p>
      <w:pPr>
        <w:pStyle w:val="BodyText"/>
      </w:pPr>
      <w:r>
        <w:t>For secured products, recoveries are modeled as a curve over months since default. The curve shape is segment-specific and may depend on collateral type, lien position, and LTV. This approach supports explicit timing of recoveries within the discounting framework.</w:t>
      </w:r>
    </w:p>
    <w:p>
      <w:pPr>
        <w:pStyle w:val="Heading2"/>
      </w:pPr>
      <w:r>
        <w:t>6.3 Direct Severity Approach (Unsecured Products)</w:t>
      </w:r>
    </w:p>
    <w:p>
      <w:pPr>
        <w:pStyle w:val="BodyText"/>
      </w:pPr>
      <w:r>
        <w:t>For unsecured products (e.g., credit cards), LGD is modeled directly using beta regression or bounded linear models. Key drivers include utilization at default, customer score bands, and macro conditions that influence recovery effectiveness.</w:t>
      </w:r>
    </w:p>
    <w:p>
      <w:pPr>
        <w:pStyle w:val="Heading2"/>
      </w:pPr>
      <w:r>
        <w:t>6.4 LGD Diagnostics (Example)</w:t>
      </w:r>
    </w:p>
    <w:tbl>
      <w:tblPr>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Mean LGD</w:t>
            </w:r>
          </w:p>
        </w:tc>
        <w:tc>
          <w:tcPr>
            <w:tcW w:type="dxa" w:w="2160"/>
          </w:tcPr>
          <w:p>
            <w:r>
              <w:t>P10 / P90</w:t>
            </w:r>
          </w:p>
        </w:tc>
        <w:tc>
          <w:tcPr>
            <w:tcW w:type="dxa" w:w="2160"/>
          </w:tcPr>
          <w:p>
            <w:r>
              <w:t>Notes</w:t>
            </w:r>
          </w:p>
        </w:tc>
      </w:tr>
      <w:tr>
        <w:tc>
          <w:tcPr>
            <w:tcW w:type="dxa" w:w="2160"/>
          </w:tcPr>
          <w:p>
            <w:r>
              <w:t>Auto - Prime</w:t>
            </w:r>
          </w:p>
        </w:tc>
        <w:tc>
          <w:tcPr>
            <w:tcW w:type="dxa" w:w="2160"/>
          </w:tcPr>
          <w:p>
            <w:r>
              <w:t>42%</w:t>
            </w:r>
          </w:p>
        </w:tc>
        <w:tc>
          <w:tcPr>
            <w:tcW w:type="dxa" w:w="2160"/>
          </w:tcPr>
          <w:p>
            <w:r>
              <w:t>28% / 58%</w:t>
            </w:r>
          </w:p>
        </w:tc>
        <w:tc>
          <w:tcPr>
            <w:tcW w:type="dxa" w:w="2160"/>
          </w:tcPr>
          <w:p>
            <w:r>
              <w:t>Collateral mitigates severity; stable recovery curves</w:t>
            </w:r>
          </w:p>
        </w:tc>
      </w:tr>
      <w:tr>
        <w:tc>
          <w:tcPr>
            <w:tcW w:type="dxa" w:w="2160"/>
          </w:tcPr>
          <w:p>
            <w:r>
              <w:t>Auto - Near Prime</w:t>
            </w:r>
          </w:p>
        </w:tc>
        <w:tc>
          <w:tcPr>
            <w:tcW w:type="dxa" w:w="2160"/>
          </w:tcPr>
          <w:p>
            <w:r>
              <w:t>54%</w:t>
            </w:r>
          </w:p>
        </w:tc>
        <w:tc>
          <w:tcPr>
            <w:tcW w:type="dxa" w:w="2160"/>
          </w:tcPr>
          <w:p>
            <w:r>
              <w:t>39% / 70%</w:t>
            </w:r>
          </w:p>
        </w:tc>
        <w:tc>
          <w:tcPr>
            <w:tcW w:type="dxa" w:w="2160"/>
          </w:tcPr>
          <w:p>
            <w:r>
              <w:t>Higher repossession costs; longer liquidation timelines</w:t>
            </w:r>
          </w:p>
        </w:tc>
      </w:tr>
      <w:tr>
        <w:tc>
          <w:tcPr>
            <w:tcW w:type="dxa" w:w="2160"/>
          </w:tcPr>
          <w:p>
            <w:r>
              <w:t>Credit Card - Prime</w:t>
            </w:r>
          </w:p>
        </w:tc>
        <w:tc>
          <w:tcPr>
            <w:tcW w:type="dxa" w:w="2160"/>
          </w:tcPr>
          <w:p>
            <w:r>
              <w:t>86%</w:t>
            </w:r>
          </w:p>
        </w:tc>
        <w:tc>
          <w:tcPr>
            <w:tcW w:type="dxa" w:w="2160"/>
          </w:tcPr>
          <w:p>
            <w:r>
              <w:t>80% / 93%</w:t>
            </w:r>
          </w:p>
        </w:tc>
        <w:tc>
          <w:tcPr>
            <w:tcW w:type="dxa" w:w="2160"/>
          </w:tcPr>
          <w:p>
            <w:r>
              <w:t>Unsecured; recoveries primarily via collections</w:t>
            </w:r>
          </w:p>
        </w:tc>
      </w:tr>
      <w:tr>
        <w:tc>
          <w:tcPr>
            <w:tcW w:type="dxa" w:w="2160"/>
          </w:tcPr>
          <w:p>
            <w:r>
              <w:t>Credit Card - Subprime</w:t>
            </w:r>
          </w:p>
        </w:tc>
        <w:tc>
          <w:tcPr>
            <w:tcW w:type="dxa" w:w="2160"/>
          </w:tcPr>
          <w:p>
            <w:r>
              <w:t>92%</w:t>
            </w:r>
          </w:p>
        </w:tc>
        <w:tc>
          <w:tcPr>
            <w:tcW w:type="dxa" w:w="2160"/>
          </w:tcPr>
          <w:p>
            <w:r>
              <w:t>87% / 97%</w:t>
            </w:r>
          </w:p>
        </w:tc>
        <w:tc>
          <w:tcPr>
            <w:tcW w:type="dxa" w:w="2160"/>
          </w:tcPr>
          <w:p>
            <w:r>
              <w:t>Lower recovery yields; sensitive to unemployment</w:t>
            </w:r>
          </w:p>
        </w:tc>
      </w:tr>
      <w:tr>
        <w:tc>
          <w:tcPr>
            <w:tcW w:type="dxa" w:w="2160"/>
          </w:tcPr>
          <w:p>
            <w:r>
              <w:t>HELOC</w:t>
            </w:r>
          </w:p>
        </w:tc>
        <w:tc>
          <w:tcPr>
            <w:tcW w:type="dxa" w:w="2160"/>
          </w:tcPr>
          <w:p>
            <w:r>
              <w:t>35%</w:t>
            </w:r>
          </w:p>
        </w:tc>
        <w:tc>
          <w:tcPr>
            <w:tcW w:type="dxa" w:w="2160"/>
          </w:tcPr>
          <w:p>
            <w:r>
              <w:t>18% / 55%</w:t>
            </w:r>
          </w:p>
        </w:tc>
        <w:tc>
          <w:tcPr>
            <w:tcW w:type="dxa" w:w="2160"/>
          </w:tcPr>
          <w:p>
            <w:r>
              <w:t>Highly dependent on lien position and property values</w:t>
            </w:r>
          </w:p>
        </w:tc>
      </w:tr>
    </w:tbl>
    <w:p>
      <w:r>
        <w:br w:type="page"/>
      </w:r>
    </w:p>
    <w:p>
      <w:pPr>
        <w:pStyle w:val="Heading1"/>
      </w:pPr>
      <w:r>
        <w:t>7. Exposure at Default (EAD), Utilization, and Prepayment</w:t>
      </w:r>
    </w:p>
    <w:p>
      <w:pPr>
        <w:pStyle w:val="BodyText"/>
      </w:pPr>
      <w:r>
        <w:t>EAD modeling differs by product. For amortizing products, EAD is primarily driven by contractual amortization and prepayment. For revolving products, EAD includes projected utilization driven by credit line dynamics and customer behavior.</w:t>
      </w:r>
    </w:p>
    <w:p>
      <w:pPr>
        <w:pStyle w:val="Heading2"/>
      </w:pPr>
      <w:r>
        <w:t>7.1 Amortizing Products</w:t>
      </w:r>
    </w:p>
    <w:p>
      <w:pPr>
        <w:pStyle w:val="BodyText"/>
      </w:pPr>
      <w:r>
        <w:t>For amortizing products, the engine projects scheduled balance using contractual terms and applies prepayment curves by segment. Partial prepayments are modeled as a monthly single-month mortality (SMM) rate derived from historical data.</w:t>
      </w:r>
    </w:p>
    <w:p>
      <w:pPr>
        <w:pStyle w:val="Heading2"/>
      </w:pPr>
      <w:r>
        <w:t>7.2 Revolving Products (CCF / Utilization)</w:t>
      </w:r>
    </w:p>
    <w:p>
      <w:pPr>
        <w:pStyle w:val="BodyText"/>
      </w:pPr>
      <w:r>
        <w:t>For revolving products, EAD is modeled as: EAD_t = Balance_t + CCF_t * (Line_t - Balance_t), where CCF_t (credit conversion factor) captures expected drawdown on unused lines prior to default. CCFs are estimated by segment and may incorporate macro covariates.</w:t>
      </w:r>
    </w:p>
    <w:p>
      <w:pPr>
        <w:pStyle w:val="Heading2"/>
      </w:pPr>
      <w:r>
        <w:t>7.3 Prepayment / Attrition</w:t>
      </w:r>
    </w:p>
    <w:p>
      <w:pPr>
        <w:pStyle w:val="BodyText"/>
      </w:pPr>
      <w:r>
        <w:t>Prepayment is modeled using either (i) cohort-based curves (CPR/SMM) or (ii) a simplified attrition hazard. Prepayment affects both exposure projection and the contractual term over which losses are recognized.</w:t>
      </w:r>
    </w:p>
    <w:p>
      <w:pPr>
        <w:pStyle w:val="Heading2"/>
      </w:pPr>
      <w:r>
        <w:t>7.4 Illustrative Prepayment Curves (Example)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Segment</w:t>
            </w:r>
          </w:p>
        </w:tc>
        <w:tc>
          <w:tcPr>
            <w:tcW w:type="dxa" w:w="1728"/>
          </w:tcPr>
          <w:p>
            <w:r>
              <w:t>SMM (Year 1)</w:t>
            </w:r>
          </w:p>
        </w:tc>
        <w:tc>
          <w:tcPr>
            <w:tcW w:type="dxa" w:w="1728"/>
          </w:tcPr>
          <w:p>
            <w:r>
              <w:t>SMM (Year 2)</w:t>
            </w:r>
          </w:p>
        </w:tc>
        <w:tc>
          <w:tcPr>
            <w:tcW w:type="dxa" w:w="1728"/>
          </w:tcPr>
          <w:p>
            <w:r>
              <w:t>SMM (Year 3+)</w:t>
            </w:r>
          </w:p>
        </w:tc>
        <w:tc>
          <w:tcPr>
            <w:tcW w:type="dxa" w:w="1728"/>
          </w:tcPr>
          <w:p>
            <w:r>
              <w:t>Comments</w:t>
            </w:r>
          </w:p>
        </w:tc>
      </w:tr>
      <w:tr>
        <w:tc>
          <w:tcPr>
            <w:tcW w:type="dxa" w:w="1728"/>
          </w:tcPr>
          <w:p>
            <w:r>
              <w:t>Auto - Prime</w:t>
            </w:r>
          </w:p>
        </w:tc>
        <w:tc>
          <w:tcPr>
            <w:tcW w:type="dxa" w:w="1728"/>
          </w:tcPr>
          <w:p>
            <w:r>
              <w:t>1.8%</w:t>
            </w:r>
          </w:p>
        </w:tc>
        <w:tc>
          <w:tcPr>
            <w:tcW w:type="dxa" w:w="1728"/>
          </w:tcPr>
          <w:p>
            <w:r>
              <w:t>1.4%</w:t>
            </w:r>
          </w:p>
        </w:tc>
        <w:tc>
          <w:tcPr>
            <w:tcW w:type="dxa" w:w="1728"/>
          </w:tcPr>
          <w:p>
            <w:r>
              <w:t>1.0%</w:t>
            </w:r>
          </w:p>
        </w:tc>
        <w:tc>
          <w:tcPr>
            <w:tcW w:type="dxa" w:w="1728"/>
          </w:tcPr>
          <w:p>
            <w:r>
              <w:t>High refinance activity early, tapering thereafter</w:t>
            </w:r>
          </w:p>
        </w:tc>
      </w:tr>
      <w:tr>
        <w:tc>
          <w:tcPr>
            <w:tcW w:type="dxa" w:w="1728"/>
          </w:tcPr>
          <w:p>
            <w:r>
              <w:t>Auto - Near Prime</w:t>
            </w:r>
          </w:p>
        </w:tc>
        <w:tc>
          <w:tcPr>
            <w:tcW w:type="dxa" w:w="1728"/>
          </w:tcPr>
          <w:p>
            <w:r>
              <w:t>1.2%</w:t>
            </w:r>
          </w:p>
        </w:tc>
        <w:tc>
          <w:tcPr>
            <w:tcW w:type="dxa" w:w="1728"/>
          </w:tcPr>
          <w:p>
            <w:r>
              <w:t>1.0%</w:t>
            </w:r>
          </w:p>
        </w:tc>
        <w:tc>
          <w:tcPr>
            <w:tcW w:type="dxa" w:w="1728"/>
          </w:tcPr>
          <w:p>
            <w:r>
              <w:t>0.8%</w:t>
            </w:r>
          </w:p>
        </w:tc>
        <w:tc>
          <w:tcPr>
            <w:tcW w:type="dxa" w:w="1728"/>
          </w:tcPr>
          <w:p>
            <w:r>
              <w:t>Lower refinance sensitivity</w:t>
            </w:r>
          </w:p>
        </w:tc>
      </w:tr>
      <w:tr>
        <w:tc>
          <w:tcPr>
            <w:tcW w:type="dxa" w:w="1728"/>
          </w:tcPr>
          <w:p>
            <w:r>
              <w:t>HELOC</w:t>
            </w:r>
          </w:p>
        </w:tc>
        <w:tc>
          <w:tcPr>
            <w:tcW w:type="dxa" w:w="1728"/>
          </w:tcPr>
          <w:p>
            <w:r>
              <w:t>0.9%</w:t>
            </w:r>
          </w:p>
        </w:tc>
        <w:tc>
          <w:tcPr>
            <w:tcW w:type="dxa" w:w="1728"/>
          </w:tcPr>
          <w:p>
            <w:r>
              <w:t>0.8%</w:t>
            </w:r>
          </w:p>
        </w:tc>
        <w:tc>
          <w:tcPr>
            <w:tcW w:type="dxa" w:w="1728"/>
          </w:tcPr>
          <w:p>
            <w:r>
              <w:t>0.7%</w:t>
            </w:r>
          </w:p>
        </w:tc>
        <w:tc>
          <w:tcPr>
            <w:tcW w:type="dxa" w:w="1728"/>
          </w:tcPr>
          <w:p>
            <w:r>
              <w:t>Behavior driven; sensitive to rate environment</w:t>
            </w:r>
          </w:p>
        </w:tc>
      </w:tr>
      <w:tr>
        <w:tc>
          <w:tcPr>
            <w:tcW w:type="dxa" w:w="1728"/>
          </w:tcPr>
          <w:p>
            <w:r>
              <w:t>Credit Card - Prime</w:t>
            </w:r>
          </w:p>
        </w:tc>
        <w:tc>
          <w:tcPr>
            <w:tcW w:type="dxa" w:w="1728"/>
          </w:tcPr>
          <w:p>
            <w:r>
              <w:t>2.5%</w:t>
            </w:r>
          </w:p>
        </w:tc>
        <w:tc>
          <w:tcPr>
            <w:tcW w:type="dxa" w:w="1728"/>
          </w:tcPr>
          <w:p>
            <w:r>
              <w:t>2.0%</w:t>
            </w:r>
          </w:p>
        </w:tc>
        <w:tc>
          <w:tcPr>
            <w:tcW w:type="dxa" w:w="1728"/>
          </w:tcPr>
          <w:p>
            <w:r>
              <w:t>1.8%</w:t>
            </w:r>
          </w:p>
        </w:tc>
        <w:tc>
          <w:tcPr>
            <w:tcW w:type="dxa" w:w="1728"/>
          </w:tcPr>
          <w:p>
            <w:r>
              <w:t>Attrition proxy; captures account closure</w:t>
            </w:r>
          </w:p>
        </w:tc>
      </w:tr>
    </w:tbl>
    <w:p>
      <w:r>
        <w:br w:type="page"/>
      </w:r>
    </w:p>
    <w:p>
      <w:pPr>
        <w:pStyle w:val="Heading1"/>
      </w:pPr>
      <w:r>
        <w:t>8. Lifetime Projection Engine and Discounting</w:t>
      </w:r>
    </w:p>
    <w:p>
      <w:pPr>
        <w:pStyle w:val="BodyText"/>
      </w:pPr>
      <w:r>
        <w:t>The lifetime projection engine combines component term structures (PD, LGD, EAD, prepayment) on a monthly grid to estimate lifetime ECL. The engine is deterministic and uses a transparent set of calculations designed for auditability.</w:t>
      </w:r>
    </w:p>
    <w:p>
      <w:pPr>
        <w:pStyle w:val="Heading2"/>
      </w:pPr>
      <w:r>
        <w:t>8.1 Monthly Hazard and Term Structure</w:t>
      </w:r>
    </w:p>
    <w:p>
      <w:pPr>
        <w:pStyle w:val="BodyText"/>
      </w:pPr>
      <w:r>
        <w:t>When starting from a 12-month PD, the suite converts to a monthly hazard rate using a parametric hazard shape calibrated to observed default timing. For products where defaults are front-loaded (e.g., unsecured), the hazard curve is steeper in early months. For secured longer-term products, the curve is flatter and more sensitive to macro conditions.</w:t>
      </w:r>
    </w:p>
    <w:p>
      <w:pPr>
        <w:pStyle w:val="Heading2"/>
      </w:pPr>
      <w:r>
        <w:t>8.2 Discounting Approach</w:t>
      </w:r>
    </w:p>
    <w:p>
      <w:pPr>
        <w:pStyle w:val="BodyText"/>
      </w:pPr>
      <w:r>
        <w:t>Discounting is performed using the effective interest rate (EIR) at origination where available. If EIR is not available, a product-level proxy rate may be used with client approval. The suite tracks the discounting method and rate source used for each run.</w:t>
      </w:r>
    </w:p>
    <w:p>
      <w:pPr>
        <w:pStyle w:val="Heading2"/>
      </w:pPr>
      <w:r>
        <w:t>8.3 Treatment of Recoveries</w:t>
      </w:r>
    </w:p>
    <w:p>
      <w:pPr>
        <w:pStyle w:val="BodyText"/>
      </w:pPr>
      <w:r>
        <w:t>When recovery curves are used, recoveries are recognized as negative loss cash flows in the projection timeline and discounted accordingly. For direct severity models, recovery timing is implicitly embedded in the LGD estimate. Clients may elect to apply a conservative lag assumption for recoveries when data is limited.</w:t>
      </w:r>
    </w:p>
    <w:p>
      <w:r>
        <w:br w:type="page"/>
      </w:r>
    </w:p>
    <w:p>
      <w:pPr>
        <w:pStyle w:val="Heading1"/>
      </w:pPr>
      <w:r>
        <w:t>9. Macroeconomic Scenarios and Forecast Integration</w:t>
      </w:r>
    </w:p>
    <w:p>
      <w:pPr>
        <w:pStyle w:val="BodyText"/>
      </w:pPr>
      <w:r>
        <w:t>Macroeconomic variables influence PD (and in some cases LGD and utilization) through estimated relationships and scenario paths. The suite supports multiple scenarios (e.g., baseline, adverse, severe) and user-defined weights.</w:t>
      </w:r>
    </w:p>
    <w:p>
      <w:pPr>
        <w:pStyle w:val="Heading2"/>
      </w:pPr>
      <w:r>
        <w:t>9.1 Macro Variables</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Typical Use</w:t>
            </w:r>
          </w:p>
        </w:tc>
      </w:tr>
      <w:tr>
        <w:tc>
          <w:tcPr>
            <w:tcW w:type="dxa" w:w="4320"/>
          </w:tcPr>
          <w:p>
            <w:r>
              <w:t>Unemployment rate</w:t>
            </w:r>
          </w:p>
        </w:tc>
        <w:tc>
          <w:tcPr>
            <w:tcW w:type="dxa" w:w="4320"/>
          </w:tcPr>
          <w:p>
            <w:r>
              <w:t>Primary driver for unsecured defaults; also affects recoveries</w:t>
            </w:r>
          </w:p>
        </w:tc>
      </w:tr>
      <w:tr>
        <w:tc>
          <w:tcPr>
            <w:tcW w:type="dxa" w:w="4320"/>
          </w:tcPr>
          <w:p>
            <w:r>
              <w:t>GDP growth</w:t>
            </w:r>
          </w:p>
        </w:tc>
        <w:tc>
          <w:tcPr>
            <w:tcW w:type="dxa" w:w="4320"/>
          </w:tcPr>
          <w:p>
            <w:r>
              <w:t>Broad economic activity; used as a secondary driver</w:t>
            </w:r>
          </w:p>
        </w:tc>
      </w:tr>
      <w:tr>
        <w:tc>
          <w:tcPr>
            <w:tcW w:type="dxa" w:w="4320"/>
          </w:tcPr>
          <w:p>
            <w:r>
              <w:t>House price index (HPI)</w:t>
            </w:r>
          </w:p>
        </w:tc>
        <w:tc>
          <w:tcPr>
            <w:tcW w:type="dxa" w:w="4320"/>
          </w:tcPr>
          <w:p>
            <w:r>
              <w:t>Key for HELOC and mortgage-related severity</w:t>
            </w:r>
          </w:p>
        </w:tc>
      </w:tr>
      <w:tr>
        <w:tc>
          <w:tcPr>
            <w:tcW w:type="dxa" w:w="4320"/>
          </w:tcPr>
          <w:p>
            <w:r>
              <w:t>Used vehicle price index</w:t>
            </w:r>
          </w:p>
        </w:tc>
        <w:tc>
          <w:tcPr>
            <w:tcW w:type="dxa" w:w="4320"/>
          </w:tcPr>
          <w:p>
            <w:r>
              <w:t>Key for auto collateral values</w:t>
            </w:r>
          </w:p>
        </w:tc>
      </w:tr>
      <w:tr>
        <w:tc>
          <w:tcPr>
            <w:tcW w:type="dxa" w:w="4320"/>
          </w:tcPr>
          <w:p>
            <w:r>
              <w:t>Interest rate level</w:t>
            </w:r>
          </w:p>
        </w:tc>
        <w:tc>
          <w:tcPr>
            <w:tcW w:type="dxa" w:w="4320"/>
          </w:tcPr>
          <w:p>
            <w:r>
              <w:t>Affects prepayment and revolving utilization dynamics</w:t>
            </w:r>
          </w:p>
        </w:tc>
      </w:tr>
    </w:tbl>
    <w:p>
      <w:pPr>
        <w:pStyle w:val="Heading2"/>
      </w:pPr>
      <w:r>
        <w:t>9.2 Scenario Weighting</w:t>
      </w:r>
    </w:p>
    <w:p>
      <w:pPr>
        <w:pStyle w:val="BodyText"/>
      </w:pPr>
      <w:r>
        <w:t>Scenario weights are not prescribed by the model and are expected to be governed by the client. The suite supports storing scenario sets and weights as named objects (e.g., '2026Q1_ForecastSet_A') to ensure reproducibility and monitoring.</w:t>
      </w:r>
    </w:p>
    <w:p>
      <w:pPr>
        <w:pStyle w:val="Heading2"/>
      </w:pPr>
      <w:r>
        <w:t>9.3 Reversion to Long-Run</w:t>
      </w:r>
    </w:p>
    <w:p>
      <w:pPr>
        <w:pStyle w:val="BodyText"/>
      </w:pPr>
      <w:r>
        <w:t>After the reasonable and supportable horizon, macro variables (or their modeled impacts) revert to long-run values. Long-run anchors may be (i) historical averages over a client-selected period, (ii) vendor-provided long-run assumptions, or (iii) policy-based anchors. The reversion method is configurable.</w:t>
      </w:r>
    </w:p>
    <w:p>
      <w:r>
        <w:br w:type="page"/>
      </w:r>
    </w:p>
    <w:p>
      <w:pPr>
        <w:pStyle w:val="Heading1"/>
      </w:pPr>
      <w:r>
        <w:t>10. Calibration, Benchmarking, and Development Testing</w:t>
      </w:r>
    </w:p>
    <w:p>
      <w:pPr>
        <w:pStyle w:val="BodyText"/>
      </w:pPr>
      <w:r>
        <w:t>Calibration aligns modeled losses with observed experience under a chosen calibration window. Benchmarking compares model outputs to simpler reference approaches and to key portfolio indicators.</w:t>
      </w:r>
    </w:p>
    <w:p>
      <w:pPr>
        <w:pStyle w:val="Heading2"/>
      </w:pPr>
      <w:r>
        <w:t>10.1 Calibration Approach</w:t>
      </w:r>
    </w:p>
    <w:p>
      <w:pPr>
        <w:pStyle w:val="BodyText"/>
      </w:pPr>
      <w:r>
        <w:t>Calibration is performed at the segment level using either (i) a multiplicative scaler on PD and/or LGD term structures, or (ii) an additive adjustment to hazard rates, depending on segment characteristics. Calibration targets are typically net charge-off rates and/or realized lifetime loss rates for closed cohorts.</w:t>
      </w:r>
    </w:p>
    <w:p>
      <w:pPr>
        <w:pStyle w:val="Heading2"/>
      </w:pPr>
      <w:r>
        <w:t>10.2 Challenger Benchmarks</w:t>
      </w:r>
    </w:p>
    <w:p>
      <w:pPr>
        <w:pStyle w:val="BodyText"/>
      </w:pPr>
      <w:r>
        <w:t>Typical challengers include: (a) trailing 12-quarter average net loss rate; (b) vintage loss curves; (c) roll-rate matrices with smoothing; and (d) simplified PD-only approaches with constant LGD. Discrepancies are investigated and documented during development.</w:t>
      </w:r>
    </w:p>
    <w:p>
      <w:pPr>
        <w:pStyle w:val="Heading2"/>
      </w:pPr>
      <w:r>
        <w:t>10.3 Back-Test Summary (Illustrative)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Portfolio</w:t>
            </w:r>
          </w:p>
        </w:tc>
        <w:tc>
          <w:tcPr>
            <w:tcW w:type="dxa" w:w="1728"/>
          </w:tcPr>
          <w:p>
            <w:r>
              <w:t>Back-test Window</w:t>
            </w:r>
          </w:p>
        </w:tc>
        <w:tc>
          <w:tcPr>
            <w:tcW w:type="dxa" w:w="1728"/>
          </w:tcPr>
          <w:p>
            <w:r>
              <w:t>Modeled Loss Rate</w:t>
            </w:r>
          </w:p>
        </w:tc>
        <w:tc>
          <w:tcPr>
            <w:tcW w:type="dxa" w:w="1728"/>
          </w:tcPr>
          <w:p>
            <w:r>
              <w:t>Realized Loss Rate</w:t>
            </w:r>
          </w:p>
        </w:tc>
        <w:tc>
          <w:tcPr>
            <w:tcW w:type="dxa" w:w="1728"/>
          </w:tcPr>
          <w:p>
            <w:r>
              <w:t>Commentary</w:t>
            </w:r>
          </w:p>
        </w:tc>
      </w:tr>
      <w:tr>
        <w:tc>
          <w:tcPr>
            <w:tcW w:type="dxa" w:w="1728"/>
          </w:tcPr>
          <w:p>
            <w:r>
              <w:t>Auto</w:t>
            </w:r>
          </w:p>
        </w:tc>
        <w:tc>
          <w:tcPr>
            <w:tcW w:type="dxa" w:w="1728"/>
          </w:tcPr>
          <w:p>
            <w:r>
              <w:t>2023Q1-2024Q4</w:t>
            </w:r>
          </w:p>
        </w:tc>
        <w:tc>
          <w:tcPr>
            <w:tcW w:type="dxa" w:w="1728"/>
          </w:tcPr>
          <w:p>
            <w:r>
              <w:t>1.92%</w:t>
            </w:r>
          </w:p>
        </w:tc>
        <w:tc>
          <w:tcPr>
            <w:tcW w:type="dxa" w:w="1728"/>
          </w:tcPr>
          <w:p>
            <w:r>
              <w:t>2.05%</w:t>
            </w:r>
          </w:p>
        </w:tc>
        <w:tc>
          <w:tcPr>
            <w:tcW w:type="dxa" w:w="1728"/>
          </w:tcPr>
          <w:p>
            <w:r>
              <w:t>Close fit; mild underprediction during late-2024</w:t>
            </w:r>
          </w:p>
        </w:tc>
      </w:tr>
      <w:tr>
        <w:tc>
          <w:tcPr>
            <w:tcW w:type="dxa" w:w="1728"/>
          </w:tcPr>
          <w:p>
            <w:r>
              <w:t>Credit Card</w:t>
            </w:r>
          </w:p>
        </w:tc>
        <w:tc>
          <w:tcPr>
            <w:tcW w:type="dxa" w:w="1728"/>
          </w:tcPr>
          <w:p>
            <w:r>
              <w:t>2023Q1-2024Q4</w:t>
            </w:r>
          </w:p>
        </w:tc>
        <w:tc>
          <w:tcPr>
            <w:tcW w:type="dxa" w:w="1728"/>
          </w:tcPr>
          <w:p>
            <w:r>
              <w:t>4.85%</w:t>
            </w:r>
          </w:p>
        </w:tc>
        <w:tc>
          <w:tcPr>
            <w:tcW w:type="dxa" w:w="1728"/>
          </w:tcPr>
          <w:p>
            <w:r>
              <w:t>4.60%</w:t>
            </w:r>
          </w:p>
        </w:tc>
        <w:tc>
          <w:tcPr>
            <w:tcW w:type="dxa" w:w="1728"/>
          </w:tcPr>
          <w:p>
            <w:r>
              <w:t>Slight overprediction; macro sensitivity conservative</w:t>
            </w:r>
          </w:p>
        </w:tc>
      </w:tr>
      <w:tr>
        <w:tc>
          <w:tcPr>
            <w:tcW w:type="dxa" w:w="1728"/>
          </w:tcPr>
          <w:p>
            <w:r>
              <w:t>HELOC</w:t>
            </w:r>
          </w:p>
        </w:tc>
        <w:tc>
          <w:tcPr>
            <w:tcW w:type="dxa" w:w="1728"/>
          </w:tcPr>
          <w:p>
            <w:r>
              <w:t>2022Q1-2024Q4</w:t>
            </w:r>
          </w:p>
        </w:tc>
        <w:tc>
          <w:tcPr>
            <w:tcW w:type="dxa" w:w="1728"/>
          </w:tcPr>
          <w:p>
            <w:r>
              <w:t>0.72%</w:t>
            </w:r>
          </w:p>
        </w:tc>
        <w:tc>
          <w:tcPr>
            <w:tcW w:type="dxa" w:w="1728"/>
          </w:tcPr>
          <w:p>
            <w:r>
              <w:t>0.78%</w:t>
            </w:r>
          </w:p>
        </w:tc>
        <w:tc>
          <w:tcPr>
            <w:tcW w:type="dxa" w:w="1728"/>
          </w:tcPr>
          <w:p>
            <w:r>
              <w:t>Stable; HPI path drives severity</w:t>
            </w:r>
          </w:p>
        </w:tc>
      </w:tr>
    </w:tbl>
    <w:p>
      <w:pPr>
        <w:pStyle w:val="Heading2"/>
      </w:pPr>
      <w:r>
        <w:t>10.4 Sensitivity Testing (Examples)</w:t>
      </w:r>
    </w:p>
    <w:p>
      <w:pPr>
        <w:pStyle w:val="ListBullet"/>
      </w:pPr>
      <w:r>
        <w:t>Unemployment +100 bps shock over forecast horizon; assess incremental ECL and segment drivers.</w:t>
      </w:r>
    </w:p>
    <w:p>
      <w:pPr>
        <w:pStyle w:val="ListBullet"/>
      </w:pPr>
      <w:r>
        <w:t>HPI -10% shock for collateral-dependent segments; assess LGD impact and recovery timing.</w:t>
      </w:r>
    </w:p>
    <w:p>
      <w:pPr>
        <w:pStyle w:val="ListBullet"/>
      </w:pPr>
      <w:r>
        <w:t>Scenario weight shift (baseline 50% -&gt; 30%); observe ECL change and contribution by scenario.</w:t>
      </w:r>
    </w:p>
    <w:p>
      <w:pPr>
        <w:pStyle w:val="ListBullet"/>
      </w:pPr>
      <w:r>
        <w:t>Prepayment -20% relative change; evaluate term extension effects on lifetime ECL.</w:t>
      </w:r>
    </w:p>
    <w:p>
      <w:r>
        <w:br w:type="page"/>
      </w:r>
    </w:p>
    <w:p>
      <w:pPr>
        <w:pStyle w:val="Heading1"/>
      </w:pPr>
      <w:r>
        <w:t>11. Key Assumptions, Limitations, and Appropriate Use</w:t>
      </w:r>
    </w:p>
    <w:p>
      <w:pPr>
        <w:pStyle w:val="Heading2"/>
      </w:pPr>
      <w:r>
        <w:t>11.1 Key Assumptions (Non-Exhaustive)</w:t>
      </w:r>
    </w:p>
    <w:p>
      <w:pPr>
        <w:pStyle w:val="ListBullet"/>
      </w:pPr>
      <w:r>
        <w:t>Account performance history is representative of future behavior after considering macro forecasts and current conditions.</w:t>
      </w:r>
    </w:p>
    <w:p>
      <w:pPr>
        <w:pStyle w:val="ListBullet"/>
      </w:pPr>
      <w:r>
        <w:t>Default definitions and charge-off timing are consistent over the estimation and application periods.</w:t>
      </w:r>
    </w:p>
    <w:p>
      <w:pPr>
        <w:pStyle w:val="ListBullet"/>
      </w:pPr>
      <w:r>
        <w:t>Macroeconomic scenario paths are internally consistent and reflect reasonable and supportable expectations for the portfolio.</w:t>
      </w:r>
    </w:p>
    <w:p>
      <w:pPr>
        <w:pStyle w:val="ListBullet"/>
      </w:pPr>
      <w:r>
        <w:t>Data inputs (balances, delinquency, recoveries, collateral values) are accurate and reconciled to source systems.</w:t>
      </w:r>
    </w:p>
    <w:p>
      <w:pPr>
        <w:pStyle w:val="ListBullet"/>
      </w:pPr>
      <w:r>
        <w:t>Prepayment and utilization dynamics are stable within segments, subject to macro adjustments where enabled.</w:t>
      </w:r>
    </w:p>
    <w:p>
      <w:pPr>
        <w:pStyle w:val="Heading2"/>
      </w:pPr>
      <w:r>
        <w:t>11.2 Limitations</w:t>
      </w:r>
    </w:p>
    <w:p>
      <w:pPr>
        <w:pStyle w:val="ListBullet"/>
      </w:pPr>
      <w:r>
        <w:t>Low-default segments may require additional smoothing, pooling, or expert judgment overlays.</w:t>
      </w:r>
    </w:p>
    <w:p>
      <w:pPr>
        <w:pStyle w:val="ListBullet"/>
      </w:pPr>
      <w:r>
        <w:t>Structural breaks (changes in underwriting, servicing, or portfolio composition) can degrade model performance.</w:t>
      </w:r>
    </w:p>
    <w:p>
      <w:pPr>
        <w:pStyle w:val="ListBullet"/>
      </w:pPr>
      <w:r>
        <w:t>Collateral value indices are proxies and may not fully capture local market behavior for specific assets.</w:t>
      </w:r>
    </w:p>
    <w:p>
      <w:pPr>
        <w:pStyle w:val="ListBullet"/>
      </w:pPr>
      <w:r>
        <w:t>Recovery timing assumptions may be uncertain when recoveries are not tracked at sufficient granularity.</w:t>
      </w:r>
    </w:p>
    <w:p>
      <w:pPr>
        <w:pStyle w:val="ListBullet"/>
      </w:pPr>
      <w:r>
        <w:t>Scenario weights and overlay choices can materially change results; these are governed outside the model.</w:t>
      </w:r>
    </w:p>
    <w:p>
      <w:pPr>
        <w:pStyle w:val="Heading2"/>
      </w:pPr>
      <w:r>
        <w:t>11.3 Appropriate Use and Governance Expectations</w:t>
      </w:r>
    </w:p>
    <w:p>
      <w:pPr>
        <w:pStyle w:val="BodyText"/>
      </w:pPr>
      <w:r>
        <w:t>Northstar expects clients to implement governance controls around (i) configuration changes, (ii) scenario selection and weights, (iii) overlays, and (iv) periodic monitoring. Users should retain run artifacts and support reproducibility for audit and validation. Material deviations from documented methodology should be evaluated under the client's model change policy.</w:t>
      </w:r>
    </w:p>
    <w:p>
      <w:pPr>
        <w:pStyle w:val="Heading2"/>
      </w:pPr>
      <w:r>
        <w:t>11.4 Development Data: Sources, PII, and Data Quality</w:t>
      </w:r>
    </w:p>
    <w:p>
      <w:pPr>
        <w:pStyle w:val="BodyText"/>
      </w:pPr>
      <w:r>
        <w:t xml:space="preserve">The CECL Suite is developed using a combination of internal loan-level performance data contributed by consortium clients and publicly available macroeconomic series. Northstar’s development dataset spans approximately 7 to 10 years of monthly account-level observations across the supported product types (auto, credit card, HELOC, and small-business installment), encompassing over 50 million account-month records in aggregate across the consortium. For a given client implementation, Northstar conducts a data applicability assessment (see Appendix E) to compare the client’s portfolio characteristics — including vintage distribution, FICO bands, origination channel mix, geographic concentration, and loss history — against the development population. Material differences are documented and may result in recommended recalibration, segmentation adjustment, or local overlay.</w:t>
      </w:r>
    </w:p>
    <w:p>
      <w:pPr>
        <w:pStyle w:val="BodyText"/>
      </w:pPr>
      <w:r>
        <w:t xml:space="preserve">Macroeconomic data are sourced from publicly available series including the U.S. Bureau of Labor Statistics (unemployment rate), Federal Reserve Economic Data (FRED) for GDP and interest rates, the Federal Housing Finance Agency (FHFA) House Price Index, and Manheim Used Vehicle Value Index for auto collateral. These series are version-controlled within the Northstar data management environment and updated on a quarterly basis aligned with scenario refresh cycles.</w:t>
      </w:r>
    </w:p>
    <w:p>
      <w:pPr>
        <w:pStyle w:val="BodyText"/>
      </w:pPr>
      <w:r>
        <w:t xml:space="preserve">Regarding personally identifiable information (PII): the CECL Suite development process uses de-identified account-level data. Northstar does not receive or retain borrower names, Social Security numbers, or other direct identifiers from client institutions. Data submitted to Northstar for calibration or diagnostic purposes is transmitted under data use agreements that require client-side de-identification prior to transfer. Clients are responsible for ensuring compliance with applicable privacy regulations (e.g., GLBA, state privacy laws) when transmitting portfolio data to Northstar.</w:t>
      </w:r>
    </w:p>
    <w:p>
      <w:pPr>
        <w:pStyle w:val="BodyText"/>
      </w:pPr>
      <w:r>
        <w:t xml:space="preserve">Data quality is assessed at two levels: (i) development-time quality controls applied by Northstar to consortium data, including completeness checks, range validation, internal consistency tests (e.g., balance reconciliation, charge-off flag alignment), and outlier review; and (ii) run-time quality controls applied to client-submitted input files, including field-level null rate checks, value distribution comparisons against expected ranges, and row-count reconciliation against prior periods. Run-time quality exceptions are surfaced in the model execution log and must be reviewed before results are used for reporting.</w:t>
      </w:r>
    </w:p>
    <w:p>
      <w:pPr>
        <w:pStyle w:val="Heading2"/>
      </w:pPr>
      <w:r>
        <w:t>11.5 Overlay Documentation and Rationale Framework</w:t>
      </w:r>
    </w:p>
    <w:p>
      <w:pPr>
        <w:pStyle w:val="BodyText"/>
      </w:pPr>
      <w:r>
        <w:t xml:space="preserve">As described in Section 2.3, the CECL Suite supports optional multiplicative and additive overlays applied to PD and/or LGD term structures. Overlays exist to address factors that fall outside the scope of the quantitative model, including: (i) known structural changes to underwriting standards, servicing, or portfolio composition that postdate the calibration window; (ii) idiosyncratic concentration risks not captured in macro scenarios (e.g., geographic exposure to a regional economic shock); (iii) management’s assessment of uncertainty at the tail of the forecast horizon; and (iv) regulatory or auditor expectations regarding conservatism in the current environment.</w:t>
      </w:r>
    </w:p>
    <w:p>
      <w:pPr>
        <w:pStyle w:val="BodyText"/>
      </w:pPr>
      <w:r>
        <w:t xml:space="preserve">Each overlay applied within the CECL Suite must be documented with: (a) the specific component and segment(s) affected; (b) the direction, magnitude, and duration of the adjustment; (c) the business rationale and supporting evidence; (d) the approving authority; and (e) the planned review or sunset date. Overlay metadata is stored as a named run parameter and is included in the model execution log to ensure full reproducibility. Overlays are reviewed at each reporting cycle and are expected to converge toward zero as the underlying condition becomes incorporated in the quantitative model or passes from relevance.</w:t>
      </w:r>
    </w:p>
    <w:p>
      <w:pPr>
        <w:pStyle w:val="BodyText"/>
      </w:pPr>
      <w:r>
        <w:t xml:space="preserve">Northstar recommends that the client’s model governance framework establish a separate overlay log maintained by the model owner, reviewed by model risk management, and reported to the appropriate committee (e.g., ALLL/ACL Committee) on a quarterly basis. The overlay log should distinguish between quantitative adjustments (supported by data analysis) and qualitative adjustments (supported by management judgment) and should track cumulative overlay impact relative to the unadjusted model output over time.</w:t>
      </w:r>
    </w:p>
    <w:p>
      <w:pPr>
        <w:pStyle w:val="Heading2"/>
      </w:pPr>
      <w:r>
        <w:t>11.6 Material Change Definition and Change Management</w:t>
      </w:r>
    </w:p>
    <w:p>
      <w:pPr>
        <w:pStyle w:val="BodyText"/>
      </w:pPr>
      <w:r>
        <w:t xml:space="preserve">Northstar defines a material change to the CECL Suite as any modification that is reasonably expected to produce a directional shift in aggregate ECL of 5% or greater at the portfolio level, or any change to core modeling methodology (e.g., substitution of estimation technique, addition or removal of a macro driver, change to segmentation structure, or change to the discounting approach). Version releases that constitute material changes are identified as major version increments (e.g., v4.x to v5.0) and are accompanied by a revised Methodology and Model Development Report, a model change summary memo, and updated development diagnostics.</w:t>
      </w:r>
    </w:p>
    <w:p>
      <w:pPr>
        <w:pStyle w:val="BodyText"/>
      </w:pPr>
      <w:r>
        <w:t xml:space="preserve">Non-material changes — including calibration updates, scenario refresh, parameter reconfiguration within documented ranges, and data corrections — are issued as minor version increments (e.g., v4.1 to v4.2) and are documented in the document control log. Clients are expected to apply their own model change policy to determine whether a Northstar version release triggers a re-validation requirement under their internal framework.</w:t>
      </w:r>
    </w:p>
    <w:p>
      <w:pPr>
        <w:pStyle w:val="BodyText"/>
      </w:pPr>
      <w:r>
        <w:t xml:space="preserve">Client-side configuration changes (e.g., modifying reversion horizon, adjusting scenario weights, updating long-run anchors) are governed by the client’s model change policy. Northstar recommends that any configuration change that produces an ECL impact above the client’s materiality threshold be treated as a model change event, documented in the overlay or change log, and reviewed by model risk management prior to use in financial reporting. Northstar support is available to assess the expected impact of proposed configuration changes prior to implementation.</w:t>
      </w:r>
    </w:p>
    <w:p>
      <w:pPr>
        <w:pStyle w:val="Heading2"/>
      </w:pPr>
      <w:r>
        <w:t>11.7 Ongoing Monitoring, Reporting Metrics, and Vendor Monitoring</w:t>
      </w:r>
    </w:p>
    <w:p>
      <w:pPr>
        <w:pStyle w:val="BodyText"/>
      </w:pPr>
      <w:r>
        <w:t xml:space="preserve">Northstar recommends that clients implement a formal ongoing performance monitoring program for the CECL Suite with a minimum quarterly frequency, aligned with the allowance reporting cycle. The monitoring program should be executed by the model owner (or designee) and reviewed annually by the independent model validator. Core monitoring metrics include: (i) Population Stability Index (PSI) for key input variables relative to the development population; (ii) actual vs. modeled net charge-off rate comparison by segment (back-test); (iii) ECL coverage ratio trend (ECL reserve as a percentage of outstanding balance); (iv) overlay magnitude and direction relative to unadjusted model output; and (v) macro scenario path realization vs. the forecast used at the prior reporting date. Breaches of established monitoring thresholds (see Section 4.3 for PSI thresholds) should be escalated and documented.</w:t>
      </w:r>
    </w:p>
    <w:p>
      <w:pPr>
        <w:pStyle w:val="BodyText"/>
      </w:pPr>
      <w:r>
        <w:t xml:space="preserve">Northstar conducts its own ongoing monitoring of model performance across the client base using aggregated, anonymized portfolio data. This includes quarterly diagnostic reviews of PD discrimination (AUC/KS), calibration stability (modeled vs. realized loss rates by vintage cohort), and PSI for key input variables. Northstar publishes a quarterly Model Health Report summarizing portfolio-wide trends and flags any segments where performance has degraded below acceptable thresholds. Clients are encouraged to compare their institution-specific monitoring results to Northstar’s portfolio-wide benchmarks to assess whether deviations are idiosyncratic or industry-wide.</w:t>
      </w:r>
    </w:p>
    <w:p>
      <w:pPr>
        <w:pStyle w:val="BodyText"/>
      </w:pPr>
      <w:r>
        <w:t xml:space="preserve">Recommended reporting structure and frequency: model performance results should be reported to the model owner on a monthly basis (or at each run cycle) via the automated model execution log. A quarterly monitoring summary, including back-test results, PSI metrics, overlay activity, and any threshold breaches, should be presented to the ALLL/ACL Committee or equivalent governance body. An annual comprehensive performance review — incorporating out-of-time validation, benchmark comparisons, and a forward-looking assessment of model fitness — should be presented to model risk management and the Board Risk Committee as applicable. The annual review serves as the primary input for the model re-validation determination.</w:t>
      </w:r>
    </w:p>
    <w:p>
      <w:r>
        <w:br w:type="page"/>
      </w:r>
    </w:p>
    <w:p>
      <w:pPr>
        <w:pStyle w:val="Heading1"/>
      </w:pPr>
      <w:r>
        <w:t>12. Appendices</w:t>
      </w:r>
    </w:p>
    <w:p>
      <w:pPr>
        <w:pStyle w:val="Heading2"/>
      </w:pPr>
      <w:r>
        <w:t>Appendix A: Glossary</w:t>
      </w:r>
    </w:p>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AUC</w:t>
            </w:r>
          </w:p>
        </w:tc>
        <w:tc>
          <w:tcPr>
            <w:tcW w:type="dxa" w:w="4320"/>
          </w:tcPr>
          <w:p>
            <w:r>
              <w:t>Area Under the ROC Curve; classification discrimination measure.</w:t>
            </w:r>
          </w:p>
        </w:tc>
      </w:tr>
      <w:tr>
        <w:tc>
          <w:tcPr>
            <w:tcW w:type="dxa" w:w="4320"/>
          </w:tcPr>
          <w:p>
            <w:r>
              <w:t>CCF</w:t>
            </w:r>
          </w:p>
        </w:tc>
        <w:tc>
          <w:tcPr>
            <w:tcW w:type="dxa" w:w="4320"/>
          </w:tcPr>
          <w:p>
            <w:r>
              <w:t>Credit Conversion Factor; expected conversion of unused line to exposure prior to default.</w:t>
            </w:r>
          </w:p>
        </w:tc>
      </w:tr>
      <w:tr>
        <w:tc>
          <w:tcPr>
            <w:tcW w:type="dxa" w:w="4320"/>
          </w:tcPr>
          <w:p>
            <w:r>
              <w:t>DF</w:t>
            </w:r>
          </w:p>
        </w:tc>
        <w:tc>
          <w:tcPr>
            <w:tcW w:type="dxa" w:w="4320"/>
          </w:tcPr>
          <w:p>
            <w:r>
              <w:t>Discount Factor; present value multiplier based on effective interest rate.</w:t>
            </w:r>
          </w:p>
        </w:tc>
      </w:tr>
      <w:tr>
        <w:tc>
          <w:tcPr>
            <w:tcW w:type="dxa" w:w="4320"/>
          </w:tcPr>
          <w:p>
            <w:r>
              <w:t>EAD</w:t>
            </w:r>
          </w:p>
        </w:tc>
        <w:tc>
          <w:tcPr>
            <w:tcW w:type="dxa" w:w="4320"/>
          </w:tcPr>
          <w:p>
            <w:r>
              <w:t>Exposure at Default; projected exposure conditional on default.</w:t>
            </w:r>
          </w:p>
        </w:tc>
      </w:tr>
      <w:tr>
        <w:tc>
          <w:tcPr>
            <w:tcW w:type="dxa" w:w="4320"/>
          </w:tcPr>
          <w:p>
            <w:r>
              <w:t>ECL</w:t>
            </w:r>
          </w:p>
        </w:tc>
        <w:tc>
          <w:tcPr>
            <w:tcW w:type="dxa" w:w="4320"/>
          </w:tcPr>
          <w:p>
            <w:r>
              <w:t>Expected Credit Loss; present value of expected losses over contractual term.</w:t>
            </w:r>
          </w:p>
        </w:tc>
      </w:tr>
      <w:tr>
        <w:tc>
          <w:tcPr>
            <w:tcW w:type="dxa" w:w="4320"/>
          </w:tcPr>
          <w:p>
            <w:r>
              <w:t>LGD</w:t>
            </w:r>
          </w:p>
        </w:tc>
        <w:tc>
          <w:tcPr>
            <w:tcW w:type="dxa" w:w="4320"/>
          </w:tcPr>
          <w:p>
            <w:r>
              <w:t>Loss Given Default; severity conditional on default.</w:t>
            </w:r>
          </w:p>
        </w:tc>
      </w:tr>
      <w:tr>
        <w:tc>
          <w:tcPr>
            <w:tcW w:type="dxa" w:w="4320"/>
          </w:tcPr>
          <w:p>
            <w:r>
              <w:t>PD</w:t>
            </w:r>
          </w:p>
        </w:tc>
        <w:tc>
          <w:tcPr>
            <w:tcW w:type="dxa" w:w="4320"/>
          </w:tcPr>
          <w:p>
            <w:r>
              <w:t>Probability of Default; likelihood of default over a horizon.</w:t>
            </w:r>
          </w:p>
        </w:tc>
      </w:tr>
      <w:tr>
        <w:tc>
          <w:tcPr>
            <w:tcW w:type="dxa" w:w="4320"/>
          </w:tcPr>
          <w:p>
            <w:r>
              <w:t>PSI</w:t>
            </w:r>
          </w:p>
        </w:tc>
        <w:tc>
          <w:tcPr>
            <w:tcW w:type="dxa" w:w="4320"/>
          </w:tcPr>
          <w:p>
            <w:r>
              <w:t>Population Stability Index; measure of distribution shift.</w:t>
            </w:r>
          </w:p>
        </w:tc>
      </w:tr>
      <w:tr>
        <w:tc>
          <w:tcPr>
            <w:tcW w:type="dxa" w:w="4320"/>
          </w:tcPr>
          <w:p>
            <w:r>
              <w:t>SMM/CPR</w:t>
            </w:r>
          </w:p>
        </w:tc>
        <w:tc>
          <w:tcPr>
            <w:tcW w:type="dxa" w:w="4320"/>
          </w:tcPr>
          <w:p>
            <w:r>
              <w:t>Single Monthly Mortality / Conditional Prepayment Rate; prepayment measures.</w:t>
            </w:r>
          </w:p>
        </w:tc>
      </w:tr>
    </w:tbl>
    <w:p>
      <w:pPr>
        <w:pStyle w:val="Heading2"/>
      </w:pPr>
      <w:r>
        <w:t>Appendix B: Example Variable Catalog (Excerpt)</w:t>
      </w:r>
    </w:p>
    <w:p>
      <w:pPr>
        <w:pStyle w:val="BodyText"/>
      </w:pPr>
      <w:r>
        <w:t>The following excerpt illustrates common variable definitions used in the CECL Suite. The full catalog is maintained as a versioned artifact in the implementation environment.</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Type</w:t>
            </w:r>
          </w:p>
        </w:tc>
        <w:tc>
          <w:tcPr>
            <w:tcW w:type="dxa" w:w="2160"/>
          </w:tcPr>
          <w:p>
            <w:r>
              <w:t>Definition</w:t>
            </w:r>
          </w:p>
        </w:tc>
        <w:tc>
          <w:tcPr>
            <w:tcW w:type="dxa" w:w="2160"/>
          </w:tcPr>
          <w:p>
            <w:r>
              <w:t>Notes</w:t>
            </w:r>
          </w:p>
        </w:tc>
      </w:tr>
      <w:tr>
        <w:tc>
          <w:tcPr>
            <w:tcW w:type="dxa" w:w="2160"/>
          </w:tcPr>
          <w:p>
            <w:r>
              <w:t>fico_band</w:t>
            </w:r>
          </w:p>
        </w:tc>
        <w:tc>
          <w:tcPr>
            <w:tcW w:type="dxa" w:w="2160"/>
          </w:tcPr>
          <w:p>
            <w:r>
              <w:t>Categorical</w:t>
            </w:r>
          </w:p>
        </w:tc>
        <w:tc>
          <w:tcPr>
            <w:tcW w:type="dxa" w:w="2160"/>
          </w:tcPr>
          <w:p>
            <w:r>
              <w:t>Borrower credit score band at observation month</w:t>
            </w:r>
          </w:p>
        </w:tc>
        <w:tc>
          <w:tcPr>
            <w:tcW w:type="dxa" w:w="2160"/>
          </w:tcPr>
          <w:p>
            <w:r>
              <w:t>Derived from bureau; missing -&gt; 'Unknown'</w:t>
            </w:r>
          </w:p>
        </w:tc>
      </w:tr>
      <w:tr>
        <w:tc>
          <w:tcPr>
            <w:tcW w:type="dxa" w:w="2160"/>
          </w:tcPr>
          <w:p>
            <w:r>
              <w:t>utilization</w:t>
            </w:r>
          </w:p>
        </w:tc>
        <w:tc>
          <w:tcPr>
            <w:tcW w:type="dxa" w:w="2160"/>
          </w:tcPr>
          <w:p>
            <w:r>
              <w:t>Continuous</w:t>
            </w:r>
          </w:p>
        </w:tc>
        <w:tc>
          <w:tcPr>
            <w:tcW w:type="dxa" w:w="2160"/>
          </w:tcPr>
          <w:p>
            <w:r>
              <w:t>Balance / Credit Line (revolving)</w:t>
            </w:r>
          </w:p>
        </w:tc>
        <w:tc>
          <w:tcPr>
            <w:tcW w:type="dxa" w:w="2160"/>
          </w:tcPr>
          <w:p>
            <w:r>
              <w:t>Winsorized at 1st/99th percentile</w:t>
            </w:r>
          </w:p>
        </w:tc>
      </w:tr>
      <w:tr>
        <w:tc>
          <w:tcPr>
            <w:tcW w:type="dxa" w:w="2160"/>
          </w:tcPr>
          <w:p>
            <w:r>
              <w:t>dpd_bucket</w:t>
            </w:r>
          </w:p>
        </w:tc>
        <w:tc>
          <w:tcPr>
            <w:tcW w:type="dxa" w:w="2160"/>
          </w:tcPr>
          <w:p>
            <w:r>
              <w:t>Categorical</w:t>
            </w:r>
          </w:p>
        </w:tc>
        <w:tc>
          <w:tcPr>
            <w:tcW w:type="dxa" w:w="2160"/>
          </w:tcPr>
          <w:p>
            <w:r>
              <w:t>Days past due bucket (0, 1-29, 30-59, 60-89, 90+)</w:t>
            </w:r>
          </w:p>
        </w:tc>
        <w:tc>
          <w:tcPr>
            <w:tcW w:type="dxa" w:w="2160"/>
          </w:tcPr>
          <w:p>
            <w:r>
              <w:t>Used for roll-rate option</w:t>
            </w:r>
          </w:p>
        </w:tc>
      </w:tr>
      <w:tr>
        <w:tc>
          <w:tcPr>
            <w:tcW w:type="dxa" w:w="2160"/>
          </w:tcPr>
          <w:p>
            <w:r>
              <w:t>hpi_yoy</w:t>
            </w:r>
          </w:p>
        </w:tc>
        <w:tc>
          <w:tcPr>
            <w:tcW w:type="dxa" w:w="2160"/>
          </w:tcPr>
          <w:p>
            <w:r>
              <w:t>Continuous</w:t>
            </w:r>
          </w:p>
        </w:tc>
        <w:tc>
          <w:tcPr>
            <w:tcW w:type="dxa" w:w="2160"/>
          </w:tcPr>
          <w:p>
            <w:r>
              <w:t>YoY % change in house price index</w:t>
            </w:r>
          </w:p>
        </w:tc>
        <w:tc>
          <w:tcPr>
            <w:tcW w:type="dxa" w:w="2160"/>
          </w:tcPr>
          <w:p>
            <w:r>
              <w:t>Scenario-driven during forecast horizon</w:t>
            </w:r>
          </w:p>
        </w:tc>
      </w:tr>
      <w:tr>
        <w:tc>
          <w:tcPr>
            <w:tcW w:type="dxa" w:w="2160"/>
          </w:tcPr>
          <w:p>
            <w:r>
              <w:t>unemp_rate</w:t>
            </w:r>
          </w:p>
        </w:tc>
        <w:tc>
          <w:tcPr>
            <w:tcW w:type="dxa" w:w="2160"/>
          </w:tcPr>
          <w:p>
            <w:r>
              <w:t>Continuous</w:t>
            </w:r>
          </w:p>
        </w:tc>
        <w:tc>
          <w:tcPr>
            <w:tcW w:type="dxa" w:w="2160"/>
          </w:tcPr>
          <w:p>
            <w:r>
              <w:t>Unemployment rate level</w:t>
            </w:r>
          </w:p>
        </w:tc>
        <w:tc>
          <w:tcPr>
            <w:tcW w:type="dxa" w:w="2160"/>
          </w:tcPr>
          <w:p>
            <w:r>
              <w:t>Scenario-driven; affects unsecured PD</w:t>
            </w:r>
          </w:p>
        </w:tc>
      </w:tr>
    </w:tbl>
    <w:p>
      <w:pPr>
        <w:pStyle w:val="Heading2"/>
      </w:pPr>
      <w:r>
        <w:t>Appendix C: Example Calculation Walkthrough (Simplified)</w:t>
      </w:r>
    </w:p>
    <w:p>
      <w:pPr>
        <w:pStyle w:val="ListNumber"/>
      </w:pPr>
      <w:r>
        <w:t>Given: EAD_t = $10,000, PD_t (marginal) = 0.30%, LGD_t = 60%, DF_t = 0.997 (monthly).</w:t>
      </w:r>
    </w:p>
    <w:p>
      <w:pPr>
        <w:pStyle w:val="ListNumber"/>
      </w:pPr>
      <w:r>
        <w:t>Monthly expected loss contribution = DF_t * EAD_t * PD_t * LGD_t = 0.997 * 10,000 * 0.0030 * 0.60 ≈ $17.95.</w:t>
      </w:r>
    </w:p>
    <w:p>
      <w:pPr>
        <w:pStyle w:val="ListNumber"/>
      </w:pPr>
      <w:r>
        <w:t>Lifetime ECL is the sum of monthly contributions over the projection horizon, net of discounted recoveries where modeled explicitly.</w:t>
      </w:r>
    </w:p>
    <w:p>
      <w:pPr>
        <w:pStyle w:val="Heading2"/>
      </w:pPr>
      <w:r>
        <w:t>Appendix D: Illustrative Output Fields (Excerpt)</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Description</w:t>
            </w:r>
          </w:p>
        </w:tc>
        <w:tc>
          <w:tcPr>
            <w:tcW w:type="dxa" w:w="2880"/>
          </w:tcPr>
          <w:p>
            <w:r>
              <w:t>Example</w:t>
            </w:r>
          </w:p>
        </w:tc>
      </w:tr>
      <w:tr>
        <w:tc>
          <w:tcPr>
            <w:tcW w:type="dxa" w:w="2880"/>
          </w:tcPr>
          <w:p>
            <w:r>
              <w:t>run_id</w:t>
            </w:r>
          </w:p>
        </w:tc>
        <w:tc>
          <w:tcPr>
            <w:tcW w:type="dxa" w:w="2880"/>
          </w:tcPr>
          <w:p>
            <w:r>
              <w:t>Unique model run identifier</w:t>
            </w:r>
          </w:p>
        </w:tc>
        <w:tc>
          <w:tcPr>
            <w:tcW w:type="dxa" w:w="2880"/>
          </w:tcPr>
          <w:p>
            <w:r>
              <w:t>2026Q1_SRBank_00047</w:t>
            </w:r>
          </w:p>
        </w:tc>
      </w:tr>
      <w:tr>
        <w:tc>
          <w:tcPr>
            <w:tcW w:type="dxa" w:w="2880"/>
          </w:tcPr>
          <w:p>
            <w:r>
              <w:t>scenario_set</w:t>
            </w:r>
          </w:p>
        </w:tc>
        <w:tc>
          <w:tcPr>
            <w:tcW w:type="dxa" w:w="2880"/>
          </w:tcPr>
          <w:p>
            <w:r>
              <w:t>Named scenario collection</w:t>
            </w:r>
          </w:p>
        </w:tc>
        <w:tc>
          <w:tcPr>
            <w:tcW w:type="dxa" w:w="2880"/>
          </w:tcPr>
          <w:p>
            <w:r>
              <w:t>2026Q1_ForecastSet_A</w:t>
            </w:r>
          </w:p>
        </w:tc>
      </w:tr>
      <w:tr>
        <w:tc>
          <w:tcPr>
            <w:tcW w:type="dxa" w:w="2880"/>
          </w:tcPr>
          <w:p>
            <w:r>
              <w:t>segment_id</w:t>
            </w:r>
          </w:p>
        </w:tc>
        <w:tc>
          <w:tcPr>
            <w:tcW w:type="dxa" w:w="2880"/>
          </w:tcPr>
          <w:p>
            <w:r>
              <w:t>Segment code used by engine</w:t>
            </w:r>
          </w:p>
        </w:tc>
        <w:tc>
          <w:tcPr>
            <w:tcW w:type="dxa" w:w="2880"/>
          </w:tcPr>
          <w:p>
            <w:r>
              <w:t>CC_PRIME</w:t>
            </w:r>
          </w:p>
        </w:tc>
      </w:tr>
      <w:tr>
        <w:tc>
          <w:tcPr>
            <w:tcW w:type="dxa" w:w="2880"/>
          </w:tcPr>
          <w:p>
            <w:r>
              <w:t>ecl_lifetime</w:t>
            </w:r>
          </w:p>
        </w:tc>
        <w:tc>
          <w:tcPr>
            <w:tcW w:type="dxa" w:w="2880"/>
          </w:tcPr>
          <w:p>
            <w:r>
              <w:t>Lifetime expected credit loss (present value)</w:t>
            </w:r>
          </w:p>
        </w:tc>
        <w:tc>
          <w:tcPr>
            <w:tcW w:type="dxa" w:w="2880"/>
          </w:tcPr>
          <w:p>
            <w:r>
              <w:t>125.42</w:t>
            </w:r>
          </w:p>
        </w:tc>
      </w:tr>
      <w:tr>
        <w:tc>
          <w:tcPr>
            <w:tcW w:type="dxa" w:w="2880"/>
          </w:tcPr>
          <w:p>
            <w:r>
              <w:t>pd_12m</w:t>
            </w:r>
          </w:p>
        </w:tc>
        <w:tc>
          <w:tcPr>
            <w:tcW w:type="dxa" w:w="2880"/>
          </w:tcPr>
          <w:p>
            <w:r>
              <w:t>12-month PD at run date</w:t>
            </w:r>
          </w:p>
        </w:tc>
        <w:tc>
          <w:tcPr>
            <w:tcW w:type="dxa" w:w="2880"/>
          </w:tcPr>
          <w:p>
            <w:r>
              <w:t>0.016</w:t>
            </w:r>
          </w:p>
        </w:tc>
      </w:tr>
      <w:tr>
        <w:tc>
          <w:tcPr>
            <w:tcW w:type="dxa" w:w="2880"/>
          </w:tcPr>
          <w:p>
            <w:r>
              <w:t>lgd_mean</w:t>
            </w:r>
          </w:p>
        </w:tc>
        <w:tc>
          <w:tcPr>
            <w:tcW w:type="dxa" w:w="2880"/>
          </w:tcPr>
          <w:p>
            <w:r>
              <w:t>Mean LGD for segment</w:t>
            </w:r>
          </w:p>
        </w:tc>
        <w:tc>
          <w:tcPr>
            <w:tcW w:type="dxa" w:w="2880"/>
          </w:tcPr>
          <w:p>
            <w:r>
              <w:t>0.86</w:t>
            </w:r>
          </w:p>
        </w:tc>
      </w:tr>
    </w:tbl>
    <w:p>
      <w:pPr>
        <w:pStyle w:val="Heading2"/>
      </w:pPr>
      <w:r>
        <w:t>Appendix E: Data Applicability Assessment Framework</w:t>
      </w:r>
    </w:p>
    <w:p>
      <w:pPr>
        <w:pStyle w:val="BodyText"/>
      </w:pPr>
      <w:r>
        <w:t xml:space="preserve">Northstar performs a data applicability assessment for each new client implementation and when significant changes to portfolio composition are observed. The assessment compares the client’s loan-level data to the development population along the following dimensions, producing a written applicability memorandum that is provided to the client for inclusion in validation documentation.</w:t>
      </w:r>
    </w:p>
    <w:p>
      <w:pPr>
        <w:pStyle w:val="BodyText"/>
      </w:pPr>
      <w:r>
        <w:t xml:space="preserve">Dimension 1 — Portfolio Mix: Comparison of product type distribution, origination channel, and geographic concentration between the client portfolio and the development dataset. Significant concentration in product types or geographies underrepresented in development data is flagged.</w:t>
      </w:r>
    </w:p>
    <w:p>
      <w:pPr>
        <w:pStyle w:val="BodyText"/>
      </w:pPr>
      <w:r>
        <w:t xml:space="preserve">Dimension 2 — Risk Profile: Comparison of FICO/score band distribution, loan-to-value ratios (secured), and delinquency bucket distribution at the time of implementation against development population benchmarks. PSI is calculated for each key input variable.</w:t>
      </w:r>
    </w:p>
    <w:p>
      <w:pPr>
        <w:pStyle w:val="BodyText"/>
      </w:pPr>
      <w:r>
        <w:t xml:space="preserve">Dimension 3 — Loss History: Comparison of historical net charge-off rates and default rates between client portfolio (most recent available 4–8 quarters) and development cohorts. Persistent differences in loss rates may indicate the need for local calibration.</w:t>
      </w:r>
    </w:p>
    <w:p>
      <w:pPr>
        <w:pStyle w:val="BodyText"/>
      </w:pPr>
      <w:r>
        <w:t xml:space="preserve">Dimension 4 — Underwriting and Policy: Review of client-provided underwriting guidelines and credit policy documents to identify structural differences (e.g., maximum LTV limits, minimum FICO requirements, geographic restrictions) that may affect model applicability. Policy-driven differences that cannot be resolved through recalibration are noted as limitations.</w:t>
      </w:r>
    </w:p>
    <w:p>
      <w:pPr>
        <w:pStyle w:val="BodyText"/>
      </w:pPr>
      <w:r>
        <w:t xml:space="preserve">The applicability assessment concludes with an overall applicability rating (Highly Applicable / Applicable with Adjustments / Limited Applicability) and specific recommendations for recalibration, segmentation refinement, or supplemental overlays where warranted. For Sample Regional Bank (SRB), the initial applicability assessment was completed concurrent with the v4.0 client release and is available as a separate deliverable (Document ID: NA-SRB-APPL-4.0).</w:t>
      </w:r>
    </w:p>
    <w:p>
      <w:pPr>
        <w:pStyle w:val="Heading2"/>
      </w:pPr>
      <w:r>
        <w:t>Appendix F: SOC Report Availability and Vendor Certification</w:t>
      </w:r>
    </w:p>
    <w:p>
      <w:pPr>
        <w:pStyle w:val="BodyText"/>
      </w:pPr>
      <w:r>
        <w:t xml:space="preserve">Northstar Analytics undergoes an annual SOC 1 Type II examination covering controls relevant to financial reporting, including the CECL Suite production environment, data ingestion processes, model execution controls, and output delivery. The SOC 1 report is issued by an independent registered public accounting firm and covers the period from January 1 through December 31 of each calendar year. The most recent report (covering the period ending December 31, 2025) is available to clients and their auditors under NDA upon request to Northstar Client Services.</w:t>
      </w:r>
    </w:p>
    <w:p>
      <w:pPr>
        <w:pStyle w:val="BodyText"/>
      </w:pPr>
      <w:r>
        <w:t xml:space="preserve">In addition, Northstar maintains a SOC 2 Type II report covering Security, Availability, and Confidentiality trust service criteria for the Northstar hosted platform environment. This report is also available to clients and their auditors upon request. No material exceptions or control deficiencies were noted in either the 2025 SOC 1 or SOC 2 reports. Northstar provides bridge letters covering any gap period between the report end date and the client’s audit date upon request.</w:t>
      </w:r>
    </w:p>
    <w:p>
      <w:pPr>
        <w:pStyle w:val="BodyText"/>
      </w:pPr>
      <w:r>
        <w:t xml:space="preserve">Model implementation certification: Northstar provides a standard Implementation Certification letter confirming that the CECL Suite has been implemented in accordance with the documented methodology for each client. The certification letter is issued following the completion of Northstar’s internal implementation review and is updated with each major version release. For SRB, the current implementation certification covers Northstar CECL Suite v4.2 and is available as document NA-SRB-CERT-4.2.</w:t>
      </w:r>
    </w:p>
    <w:p>
      <w:pPr>
        <w:pStyle w:val="Heading2"/>
      </w:pPr>
      <w:r>
        <w:t>Appendix G: Reference Documents and Bibliography</w:t>
      </w:r>
    </w:p>
    <w:p>
      <w:pPr>
        <w:pStyle w:val="BodyText"/>
      </w:pPr>
      <w:r>
        <w:t xml:space="preserve">The following documents and references are relevant to the Northstar CECL Suite methodology. Client-side deliverables listed below are available from Northstar Client Services.</w:t>
      </w:r>
    </w:p>
    <w:p>
      <w:pPr>
        <w:pStyle w:val="BodyText"/>
      </w:pPr>
      <w:r>
        <w:t xml:space="preserve">Regulatory and Accounting Standards: Financial Accounting Standards Board (FASB), Accounting Standards Update (ASU) 2016-13, “Measurement of Credit Losses on Financial Instruments” (CECL). Office of the Comptroller of the Currency (OCC), Federal Reserve, FDIC, NCUA — “Joint Statement on the New Accounting Standard on Financial Instruments – Credit Losses” (February 2019). OCC Supervisory Guidance on Model Risk Management (OCC 2011-12, SR 11-7). FASB ASC 326-20 Implementation Guidance and Illustrations.</w:t>
      </w:r>
    </w:p>
    <w:p>
      <w:pPr>
        <w:pStyle w:val="BodyText"/>
      </w:pPr>
      <w:r>
        <w:t xml:space="preserve">Academic and Technical References: Hosmer, D. W., Lemeshow, S., and Sturdivant, R. X. (2013). Applied Logistic Regression (3rd ed.). Wiley. Vasicek, O. (2002). “Loan Portfolio Value.” Risk Magazine. Schuermann, T. (2004). “What Do We Know About Loss Given Default?” Federal Reserve Bank of New York Staff Reports. Lando, D. (2004). Credit Risk Modeling. Princeton University Press. McNeil, A. J., Frey, R., and Embrechts, P. (2015). Quantitative Risk Management (Revised ed.). Princeton University Press.</w:t>
      </w:r>
    </w:p>
    <w:p>
      <w:pPr>
        <w:pStyle w:val="BodyText"/>
      </w:pPr>
      <w:r>
        <w:t xml:space="preserve">Northstar Analytics Client Deliverables (Sample Regional Bank): NA-CECL-MDR-4.2 — This document (Methodology and Model Development Report, v4.2). NA-SRB-APPL-4.0 — Data Applicability Assessment Memorandum (initial implementation). NA-SRB-CERT-4.2 — Implementation Certification Letter, v4.2. NA-SRB-MON-TMPL-4.2 — Monitoring Report Template. NA-SRB-UG-4.2 — End User Guide and Operating Procedures, v4.2. NA-SRB-CONFIG-4.2 — Configuration Specification Document, v4.2. SOC 1 Type II Report (period ending December 31, 2025) — available under NDA. SOC 2 Type II Report (period ending December 31, 2025) — available under NDA.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r>
      <w:t xml:space="preser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Northstar CECL Suite v4.2 - Methodology &amp; Model Development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