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ml_bsa_continuous_monitoring_kpi_433278"/>
      <w:r>
        <w:rPr>
          <w:b/>
          <w:sz w:val="56"/>
        </w:rPr>
        <w:t xml:space="preserve">AML/BSA Continuous Monitoring: KPI &amp; KRI Framework</w:t>
      </w:r>
      <w:bookmarkEnd w:id="0"/>
    </w:p>
    <w:p>
      <w:pPr>
        <w:spacing w:line="271" w:before="240" w:lineRule="auto"/>
      </w:pPr>
      <w:bookmarkStart w:id="1" w:name="industry_best_practice_for_life_i_3ab2f5"/>
      <w:r>
        <w:rPr>
          <w:b/>
          <w:sz w:val="33"/>
        </w:rPr>
        <w:t xml:space="preserve">Industry Best Practice for Life Insurance &amp; Financial Services | FFIEC/FinCEN Aligned</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overview"/>
      <w:r>
        <w:rPr>
          <w:b/>
          <w:sz w:val="42"/>
        </w:rPr>
        <w:t xml:space="preserve">Overview</w:t>
      </w:r>
      <w:bookmarkEnd w:id="2"/>
    </w:p>
    <w:p>
      <w:pPr>
        <w:spacing w:after="210" w:lineRule="auto"/>
      </w:pPr>
      <w:r>
        <w:rPr/>
        <w:t xml:space="preserve">Effective AML/BSA continuous monitoring requires two distinct measurement layers: </w:t>
      </w:r>
      <w:r>
        <w:rPr>
          <w:b/>
        </w:rPr>
        <w:t xml:space="preserve">Key Performance Indicators (KPIs)</w:t>
      </w:r>
      <w:r>
        <w:rPr/>
        <w:t xml:space="preserve">, which measure how well the program is executing today, and </w:t>
      </w:r>
      <w:r>
        <w:rPr>
          <w:b/>
        </w:rPr>
        <w:t xml:space="preserve">Key Risk Indicators (KRIs)</w:t>
      </w:r>
      <w:r>
        <w:rPr>
          <w:rFonts w:eastAsia="Georgia" w:cs="Georgia" w:ascii="Georgia" w:hAnsi="Georgia"/>
        </w:rPr>
        <w:t xml:space="preserve">, which signal where risk is building before a control failure occurs. Most financial institutions — particularly insurance companies — operate with KPIs alone, leaving them reactive rather than predictive.</w:t>
      </w:r>
    </w:p>
    <w:p>
      <w:pPr>
        <w:spacing w:after="210" w:lineRule="auto"/>
      </w:pPr>
      <w:r>
        <w:rPr>
          <w:rFonts w:eastAsia="Georgia" w:cs="Georgia" w:ascii="Georgia" w:hAnsi="Georgia"/>
        </w:rPr>
        <w:t xml:space="preserve">The FFIEC BSA/AML Examination Manual and FinCEN guidance establish that a sound monitoring program must demonstrate not just activity (SARs filed, alerts reviewed) but also risk awareness — the ability to detect deterioration in program health before a regulatory examination surfaces it. The framework below organizes both dimensions across four functional areas each.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key_performance_indicators_kpis"/>
      <w:r>
        <w:rPr>
          <w:b/>
          <w:sz w:val="42"/>
        </w:rPr>
        <w:t xml:space="preserve">Key Performance Indicators (KPIs)</w:t>
      </w:r>
      <w:bookmarkEnd w:id="3"/>
    </w:p>
    <w:p>
      <w:pPr>
        <w:spacing w:after="210" w:lineRule="auto"/>
      </w:pPr>
      <w:r>
        <w:rPr>
          <w:rFonts w:eastAsia="Georgia" w:cs="Georgia" w:ascii="Georgia" w:hAnsi="Georgia"/>
        </w:rPr>
        <w:t xml:space="preserve">KPIs measure operational effectiveness — the throughput, timeliness, and accuracy of the AML program in execution.</w:t>
      </w:r>
    </w:p>
    <w:p>
      <w:pPr>
        <w:spacing w:line="271" w:before="240" w:lineRule="auto"/>
      </w:pPr>
      <w:bookmarkStart w:id="4" w:name="bm_1_alert_management"/>
      <w:r>
        <w:rPr>
          <w:b/>
          <w:sz w:val="33"/>
        </w:rPr>
        <w:t xml:space="preserve">1. Alert Management</w:t>
      </w:r>
      <w:bookmarkEnd w:id="4"/>
    </w:p>
    <w:p>
      <w:pPr>
        <w:spacing w:after="210" w:lineRule="auto"/>
      </w:pPr>
      <w:r>
        <w:rPr/>
        <w:t xml:space="preserve">Alert management KPIs are the heartbeat of any transaction monitoring program. They answer whether the detection engine is generating useful signals or producing noise.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Benchmark / Threshold</w:t>
            </w:r>
          </w:p>
        </w:tc>
      </w:tr>
      <w:tr>
        <w:trPr>
          <w:cantSplit/>
        </w:trPr>
        <w:tc>
          <w:tcPr>
            <w:tcBorders>
              <w:top w:val="single" w:sz="1" w:space="0" w:color="000000"/>
              <w:bottom w:val="single" w:sz="1" w:space="0" w:color="000000"/>
            </w:tcBorders>
          </w:tcPr>
          <w:p>
            <w:pPr>
              <w:spacing w:lineRule="auto"/>
            </w:pPr>
            <w:r>
              <w:rPr/>
              <w:t xml:space="preserve">Total alert volume</w:t>
            </w:r>
          </w:p>
        </w:tc>
        <w:tc>
          <w:tcPr>
            <w:tcBorders>
              <w:top w:val="single" w:sz="1" w:space="0" w:color="000000"/>
              <w:left w:val="single" w:sz="1" w:space="0" w:color="000000"/>
              <w:bottom w:val="single" w:sz="1" w:space="0" w:color="000000"/>
            </w:tcBorders>
          </w:tcPr>
          <w:p>
            <w:pPr>
              <w:spacing w:lineRule="auto"/>
            </w:pPr>
            <w:r>
              <w:rPr/>
              <w:t xml:space="preserve">Count of alerts generated, by scenario and line of business</w:t>
            </w:r>
          </w:p>
        </w:tc>
        <w:tc>
          <w:tcPr>
            <w:tcBorders>
              <w:top w:val="single" w:sz="1" w:space="0" w:color="000000"/>
              <w:left w:val="single" w:sz="1" w:space="0" w:color="000000"/>
              <w:bottom w:val="single" w:sz="1" w:space="0" w:color="000000"/>
            </w:tcBorders>
          </w:tcPr>
          <w:p>
            <w:pPr>
              <w:spacing w:lineRule="auto"/>
            </w:pPr>
            <w:r>
              <w:rPr/>
              <w:t xml:space="preserve">Track QoQ trend; spikes signal rule drift</w:t>
            </w:r>
          </w:p>
        </w:tc>
      </w:tr>
      <w:tr>
        <w:trPr>
          <w:cantSplit/>
        </w:trPr>
        <w:tc>
          <w:tcPr>
            <w:tcBorders>
              <w:top w:val="single" w:sz="1" w:space="0" w:color="000000"/>
              <w:bottom w:val="single" w:sz="1" w:space="0" w:color="000000"/>
            </w:tcBorders>
          </w:tcPr>
          <w:p>
            <w:pPr>
              <w:spacing w:lineRule="auto"/>
            </w:pPr>
            <w:r>
              <w:rPr/>
              <w:t xml:space="preserve">False positive rate</w:t>
            </w:r>
          </w:p>
        </w:tc>
        <w:tc>
          <w:tcPr>
            <w:tcBorders>
              <w:top w:val="single" w:sz="1" w:space="0" w:color="000000"/>
              <w:left w:val="single" w:sz="1" w:space="0" w:color="000000"/>
              <w:bottom w:val="single" w:sz="1" w:space="0" w:color="000000"/>
            </w:tcBorders>
          </w:tcPr>
          <w:p>
            <w:pPr>
              <w:spacing w:lineRule="auto"/>
            </w:pPr>
            <w:r>
              <w:rPr/>
              <w:t xml:space="preserve">% of alerts closed without investigation</w:t>
            </w:r>
          </w:p>
        </w:tc>
        <w:tc>
          <w:tcPr>
            <w:tcBorders>
              <w:top w:val="single" w:sz="1" w:space="0" w:color="000000"/>
              <w:left w:val="single" w:sz="1" w:space="0" w:color="000000"/>
              <w:bottom w:val="single" w:sz="1" w:space="0" w:color="000000"/>
            </w:tcBorders>
          </w:tcPr>
          <w:p>
            <w:pPr>
              <w:spacing w:lineRule="auto"/>
            </w:pPr>
            <w:r>
              <w:rPr/>
              <w:t xml:space="preserve">Industry target: &lt;90%; &gt;95% indicates tuning need</w:t>
            </w:r>
          </w:p>
        </w:tc>
      </w:tr>
      <w:tr>
        <w:trPr>
          <w:cantSplit/>
        </w:trPr>
        <w:tc>
          <w:tcPr>
            <w:tcBorders>
              <w:top w:val="single" w:sz="1" w:space="0" w:color="000000"/>
              <w:bottom w:val="single" w:sz="1" w:space="0" w:color="000000"/>
            </w:tcBorders>
          </w:tcPr>
          <w:p>
            <w:pPr>
              <w:spacing w:lineRule="auto"/>
            </w:pPr>
            <w:r>
              <w:rPr/>
              <w:t xml:space="preserve">Alert-to-SAR conversion rate</w:t>
            </w:r>
          </w:p>
        </w:tc>
        <w:tc>
          <w:tcPr>
            <w:tcBorders>
              <w:top w:val="single" w:sz="1" w:space="0" w:color="000000"/>
              <w:left w:val="single" w:sz="1" w:space="0" w:color="000000"/>
              <w:bottom w:val="single" w:sz="1" w:space="0" w:color="000000"/>
            </w:tcBorders>
          </w:tcPr>
          <w:p>
            <w:pPr>
              <w:spacing w:lineRule="auto"/>
            </w:pPr>
            <w:r>
              <w:rPr/>
              <w:t xml:space="preserve">% of alerts that result in a SAR filing</w:t>
            </w:r>
          </w:p>
        </w:tc>
        <w:tc>
          <w:tcPr>
            <w:tcBorders>
              <w:top w:val="single" w:sz="1" w:space="0" w:color="000000"/>
              <w:left w:val="single" w:sz="1" w:space="0" w:color="000000"/>
              <w:bottom w:val="single" w:sz="1" w:space="0" w:color="000000"/>
            </w:tcBorders>
          </w:tcPr>
          <w:p>
            <w:pPr>
              <w:spacing w:lineRule="auto"/>
            </w:pPr>
            <w:r>
              <w:rPr/>
              <w:t xml:space="preserve">Establishes program efficiency baseline</w:t>
            </w:r>
          </w:p>
        </w:tc>
      </w:tr>
      <w:tr>
        <w:trPr>
          <w:cantSplit/>
        </w:trPr>
        <w:tc>
          <w:tcPr>
            <w:tcBorders>
              <w:top w:val="single" w:sz="1" w:space="0" w:color="000000"/>
              <w:bottom w:val="single" w:sz="1" w:space="0" w:color="000000"/>
            </w:tcBorders>
          </w:tcPr>
          <w:p>
            <w:pPr>
              <w:spacing w:lineRule="auto"/>
            </w:pPr>
            <w:r>
              <w:rPr/>
              <w:t xml:space="preserve">Avg. days to disposition an alert</w:t>
            </w:r>
          </w:p>
        </w:tc>
        <w:tc>
          <w:tcPr>
            <w:tcBorders>
              <w:top w:val="single" w:sz="1" w:space="0" w:color="000000"/>
              <w:left w:val="single" w:sz="1" w:space="0" w:color="000000"/>
              <w:bottom w:val="single" w:sz="1" w:space="0" w:color="000000"/>
            </w:tcBorders>
          </w:tcPr>
          <w:p>
            <w:pPr>
              <w:spacing w:lineRule="auto"/>
            </w:pPr>
            <w:r>
              <w:rPr/>
              <w:t xml:space="preserve">Mean time from alert generation to close/escalate</w:t>
            </w:r>
          </w:p>
        </w:tc>
        <w:tc>
          <w:tcPr>
            <w:tcBorders>
              <w:top w:val="single" w:sz="1" w:space="0" w:color="000000"/>
              <w:left w:val="single" w:sz="1" w:space="0" w:color="000000"/>
              <w:bottom w:val="single" w:sz="1" w:space="0" w:color="000000"/>
            </w:tcBorders>
          </w:tcPr>
          <w:p>
            <w:pPr>
              <w:spacing w:lineRule="auto"/>
            </w:pPr>
            <w:r>
              <w:rPr/>
              <w:t xml:space="preserve">Internal SLA dependent; watch for creep</w:t>
            </w:r>
          </w:p>
        </w:tc>
      </w:tr>
      <w:tr>
        <w:trPr>
          <w:cantSplit/>
        </w:trPr>
        <w:tc>
          <w:tcPr>
            <w:tcBorders>
              <w:top w:val="single" w:sz="1" w:space="0" w:color="000000"/>
              <w:bottom w:val="single" w:sz="1" w:space="0" w:color="000000"/>
            </w:tcBorders>
          </w:tcPr>
          <w:p>
            <w:pPr>
              <w:spacing w:lineRule="auto"/>
            </w:pPr>
            <w:r>
              <w:rPr/>
              <w:t xml:space="preserve">% alerts closed within SLA</w:t>
            </w:r>
          </w:p>
        </w:tc>
        <w:tc>
          <w:tcPr>
            <w:tcBorders>
              <w:top w:val="single" w:sz="1" w:space="0" w:color="000000"/>
              <w:left w:val="single" w:sz="1" w:space="0" w:color="000000"/>
              <w:bottom w:val="single" w:sz="1" w:space="0" w:color="000000"/>
            </w:tcBorders>
          </w:tcPr>
          <w:p>
            <w:pPr>
              <w:spacing w:lineRule="auto"/>
            </w:pPr>
            <w:r>
              <w:rPr/>
              <w:t xml:space="preserve">Compliance with 60-day investigation and 30-day SAR windows</w:t>
            </w:r>
          </w:p>
        </w:tc>
        <w:tc>
          <w:tcPr>
            <w:tcBorders>
              <w:top w:val="single" w:sz="1" w:space="0" w:color="000000"/>
              <w:left w:val="single" w:sz="1" w:space="0" w:color="000000"/>
              <w:bottom w:val="single" w:sz="1" w:space="0" w:color="000000"/>
            </w:tcBorders>
          </w:tcPr>
          <w:p>
            <w:pPr>
              <w:spacing w:lineRule="auto"/>
            </w:pPr>
            <w:r>
              <w:rPr/>
              <w:t xml:space="preserve">100% required; any breach is a regulatory exposure</w:t>
            </w:r>
          </w:p>
        </w:tc>
      </w:tr>
    </w:tbl>
    <w:p>
      <w:pPr>
        <w:spacing w:lineRule="auto"/>
      </w:pPr>
    </w:p>
    <w:p>
      <w:pPr>
        <w:spacing w:line="271" w:before="240" w:lineRule="auto"/>
      </w:pPr>
      <w:bookmarkStart w:id="5" w:name="bm_2_sar_sirf_reporting"/>
      <w:r>
        <w:rPr>
          <w:b/>
          <w:sz w:val="33"/>
        </w:rPr>
        <w:t xml:space="preserve">2. SAR / SIRF Reporting</w:t>
      </w:r>
      <w:bookmarkEnd w:id="5"/>
    </w:p>
    <w:p>
      <w:pPr>
        <w:spacing w:after="210" w:lineRule="auto"/>
      </w:pPr>
      <w:r>
        <w:rPr/>
        <w:t xml:space="preserve">SAR metrics validate that suspicious activity is being identified, investigated, and reported in compliance with BSA obligations. For insurance companies subject to 31 CFR Part 1025, timely SAR filing within 30 days of detection is a hard regulatory requirement.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Benchmark / Threshold</w:t>
            </w:r>
          </w:p>
        </w:tc>
      </w:tr>
      <w:tr>
        <w:trPr>
          <w:cantSplit/>
        </w:trPr>
        <w:tc>
          <w:tcPr>
            <w:tcBorders>
              <w:top w:val="single" w:sz="1" w:space="0" w:color="000000"/>
              <w:bottom w:val="single" w:sz="1" w:space="0" w:color="000000"/>
            </w:tcBorders>
          </w:tcPr>
          <w:p>
            <w:pPr>
              <w:spacing w:lineRule="auto"/>
            </w:pPr>
            <w:r>
              <w:rPr/>
              <w:t xml:space="preserve">Total SIRFs filed</w:t>
            </w:r>
          </w:p>
        </w:tc>
        <w:tc>
          <w:tcPr>
            <w:tcBorders>
              <w:top w:val="single" w:sz="1" w:space="0" w:color="000000"/>
              <w:left w:val="single" w:sz="1" w:space="0" w:color="000000"/>
              <w:bottom w:val="single" w:sz="1" w:space="0" w:color="000000"/>
            </w:tcBorders>
          </w:tcPr>
          <w:p>
            <w:pPr>
              <w:spacing w:lineRule="auto"/>
            </w:pPr>
            <w:r>
              <w:rPr/>
              <w:t xml:space="preserve">Volume by source (1st line associate vs. 2nd line monitoring)</w:t>
            </w:r>
          </w:p>
        </w:tc>
        <w:tc>
          <w:tcPr>
            <w:tcBorders>
              <w:top w:val="single" w:sz="1" w:space="0" w:color="000000"/>
              <w:left w:val="single" w:sz="1" w:space="0" w:color="000000"/>
              <w:bottom w:val="single" w:sz="1" w:space="0" w:color="000000"/>
            </w:tcBorders>
          </w:tcPr>
          <w:p>
            <w:pPr>
              <w:spacing w:lineRule="auto"/>
            </w:pPr>
            <w:r>
              <w:rPr/>
              <w:t xml:space="preserve">Baseline and trend matter more than absolute count</w:t>
            </w:r>
          </w:p>
        </w:tc>
      </w:tr>
      <w:tr>
        <w:trPr>
          <w:cantSplit/>
        </w:trPr>
        <w:tc>
          <w:tcPr>
            <w:tcBorders>
              <w:top w:val="single" w:sz="1" w:space="0" w:color="000000"/>
              <w:bottom w:val="single" w:sz="1" w:space="0" w:color="000000"/>
            </w:tcBorders>
          </w:tcPr>
          <w:p>
            <w:pPr>
              <w:spacing w:lineRule="auto"/>
            </w:pPr>
            <w:r>
              <w:rPr/>
              <w:t xml:space="preserve">Total SARs filed</w:t>
            </w:r>
          </w:p>
        </w:tc>
        <w:tc>
          <w:tcPr>
            <w:tcBorders>
              <w:top w:val="single" w:sz="1" w:space="0" w:color="000000"/>
              <w:left w:val="single" w:sz="1" w:space="0" w:color="000000"/>
              <w:bottom w:val="single" w:sz="1" w:space="0" w:color="000000"/>
            </w:tcBorders>
          </w:tcPr>
          <w:p>
            <w:pPr>
              <w:spacing w:lineRule="auto"/>
            </w:pPr>
            <w:r>
              <w:rPr/>
              <w:t xml:space="preserve">Period-over-period count by typology category</w:t>
            </w:r>
          </w:p>
        </w:tc>
        <w:tc>
          <w:tcPr>
            <w:tcBorders>
              <w:top w:val="single" w:sz="1" w:space="0" w:color="000000"/>
              <w:left w:val="single" w:sz="1" w:space="0" w:color="000000"/>
              <w:bottom w:val="single" w:sz="1" w:space="0" w:color="000000"/>
            </w:tcBorders>
          </w:tcPr>
          <w:p>
            <w:pPr>
              <w:spacing w:lineRule="auto"/>
            </w:pPr>
            <w:r>
              <w:rPr/>
              <w:t xml:space="preserve">Sudden drop may indicate detection failure</w:t>
            </w:r>
          </w:p>
        </w:tc>
      </w:tr>
      <w:tr>
        <w:trPr>
          <w:cantSplit/>
        </w:trPr>
        <w:tc>
          <w:tcPr>
            <w:tcBorders>
              <w:top w:val="single" w:sz="1" w:space="0" w:color="000000"/>
              <w:bottom w:val="single" w:sz="1" w:space="0" w:color="000000"/>
            </w:tcBorders>
          </w:tcPr>
          <w:p>
            <w:pPr>
              <w:spacing w:lineRule="auto"/>
            </w:pPr>
            <w:r>
              <w:rPr/>
              <w:t xml:space="preserve">SIRF-to-SAR conversion rate</w:t>
            </w:r>
          </w:p>
        </w:tc>
        <w:tc>
          <w:tcPr>
            <w:tcBorders>
              <w:top w:val="single" w:sz="1" w:space="0" w:color="000000"/>
              <w:left w:val="single" w:sz="1" w:space="0" w:color="000000"/>
              <w:bottom w:val="single" w:sz="1" w:space="0" w:color="000000"/>
            </w:tcBorders>
          </w:tcPr>
          <w:p>
            <w:pPr>
              <w:spacing w:lineRule="auto"/>
            </w:pPr>
            <w:r>
              <w:rPr/>
              <w:t xml:space="preserve">% of internal referrals escalated to SAR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Typical insurance range: 15–25%; very low = under-detection</w:t>
            </w:r>
          </w:p>
        </w:tc>
      </w:tr>
      <w:tr>
        <w:trPr>
          <w:cantSplit/>
        </w:trPr>
        <w:tc>
          <w:tcPr>
            <w:tcBorders>
              <w:top w:val="single" w:sz="1" w:space="0" w:color="000000"/>
              <w:bottom w:val="single" w:sz="1" w:space="0" w:color="000000"/>
            </w:tcBorders>
          </w:tcPr>
          <w:p>
            <w:pPr>
              <w:spacing w:lineRule="auto"/>
            </w:pPr>
            <w:r>
              <w:rPr/>
              <w:t xml:space="preserve">Avg. days SIRF to SAR filing</w:t>
            </w:r>
          </w:p>
        </w:tc>
        <w:tc>
          <w:tcPr>
            <w:tcBorders>
              <w:top w:val="single" w:sz="1" w:space="0" w:color="000000"/>
              <w:left w:val="single" w:sz="1" w:space="0" w:color="000000"/>
              <w:bottom w:val="single" w:sz="1" w:space="0" w:color="000000"/>
            </w:tcBorders>
          </w:tcPr>
          <w:p>
            <w:pPr>
              <w:spacing w:lineRule="auto"/>
            </w:pPr>
            <w:r>
              <w:rPr/>
              <w:t xml:space="preserve">Mean days from referral receipt to SAR submission</w:t>
            </w:r>
          </w:p>
        </w:tc>
        <w:tc>
          <w:tcPr>
            <w:tcBorders>
              <w:top w:val="single" w:sz="1" w:space="0" w:color="000000"/>
              <w:left w:val="single" w:sz="1" w:space="0" w:color="000000"/>
              <w:bottom w:val="single" w:sz="1" w:space="0" w:color="000000"/>
            </w:tcBorders>
          </w:tcPr>
          <w:p>
            <w:pPr>
              <w:spacing w:lineRule="auto"/>
            </w:pPr>
            <w:r>
              <w:rPr/>
              <w:t xml:space="preserve">Must not exceed 30 days from detection date</w:t>
            </w:r>
          </w:p>
        </w:tc>
      </w:tr>
      <w:tr>
        <w:trPr>
          <w:cantSplit/>
        </w:trPr>
        <w:tc>
          <w:tcPr>
            <w:tcBorders>
              <w:top w:val="single" w:sz="1" w:space="0" w:color="000000"/>
              <w:bottom w:val="single" w:sz="1" w:space="0" w:color="000000"/>
            </w:tcBorders>
          </w:tcPr>
          <w:p>
            <w:pPr>
              <w:spacing w:lineRule="auto"/>
            </w:pPr>
            <w:r>
              <w:rPr/>
              <w:t xml:space="preserve">% SARs filed on time</w:t>
            </w:r>
          </w:p>
        </w:tc>
        <w:tc>
          <w:tcPr>
            <w:tcBorders>
              <w:top w:val="single" w:sz="1" w:space="0" w:color="000000"/>
              <w:left w:val="single" w:sz="1" w:space="0" w:color="000000"/>
              <w:bottom w:val="single" w:sz="1" w:space="0" w:color="000000"/>
            </w:tcBorders>
          </w:tcPr>
          <w:p>
            <w:pPr>
              <w:spacing w:lineRule="auto"/>
            </w:pPr>
            <w:r>
              <w:rPr/>
              <w:t xml:space="preserve">Timely filings as % of all SAR filings</w:t>
            </w:r>
          </w:p>
        </w:tc>
        <w:tc>
          <w:tcPr>
            <w:tcBorders>
              <w:top w:val="single" w:sz="1" w:space="0" w:color="000000"/>
              <w:left w:val="single" w:sz="1" w:space="0" w:color="000000"/>
              <w:bottom w:val="single" w:sz="1" w:space="0" w:color="000000"/>
            </w:tcBorders>
          </w:tcPr>
          <w:p>
            <w:pPr>
              <w:spacing w:lineRule="auto"/>
            </w:pPr>
            <w:r>
              <w:rPr/>
              <w:t xml:space="preserve">Regulatory floor: 100%; any late filing is a BSA violation</w:t>
            </w:r>
          </w:p>
        </w:tc>
      </w:tr>
    </w:tbl>
    <w:p>
      <w:pPr>
        <w:spacing w:lineRule="auto"/>
      </w:pPr>
    </w:p>
    <w:p>
      <w:pPr>
        <w:spacing w:line="271" w:before="240" w:lineRule="auto"/>
      </w:pPr>
      <w:bookmarkStart w:id="6" w:name="bm_3_cip_kyc_compliance"/>
      <w:r>
        <w:rPr>
          <w:b/>
          <w:sz w:val="33"/>
        </w:rPr>
        <w:t xml:space="preserve">3. CIP / KYC Compliance</w:t>
      </w:r>
      <w:bookmarkEnd w:id="6"/>
    </w:p>
    <w:p>
      <w:pPr>
        <w:spacing w:after="210" w:lineRule="auto"/>
      </w:pPr>
      <w:r>
        <w:rPr>
          <w:rFonts w:eastAsia="Georgia" w:cs="Georgia" w:ascii="Georgia" w:hAnsi="Georgia"/>
        </w:rPr>
        <w:t xml:space="preserve">Customer Identification Program (CIP) and Know Your Customer (KYC) requirements under 31 CFR Part 1025.220 mandate that covered insurance companies collect and verify specific identity elements at policy issuance. Full-population testing — rather than annual sampling — is the standard for continuous monitoring maturity.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Benchmark / Threshold</w:t>
            </w:r>
          </w:p>
        </w:tc>
      </w:tr>
      <w:tr>
        <w:trPr>
          <w:cantSplit/>
        </w:trPr>
        <w:tc>
          <w:tcPr>
            <w:tcBorders>
              <w:top w:val="single" w:sz="1" w:space="0" w:color="000000"/>
              <w:bottom w:val="single" w:sz="1" w:space="0" w:color="000000"/>
            </w:tcBorders>
          </w:tcPr>
          <w:p>
            <w:pPr>
              <w:spacing w:lineRule="auto"/>
            </w:pPr>
            <w:r>
              <w:rPr/>
              <w:t xml:space="preserve">% new policies with complete CIP fields</w:t>
            </w:r>
          </w:p>
        </w:tc>
        <w:tc>
          <w:tcPr>
            <w:tcBorders>
              <w:top w:val="single" w:sz="1" w:space="0" w:color="000000"/>
              <w:left w:val="single" w:sz="1" w:space="0" w:color="000000"/>
              <w:bottom w:val="single" w:sz="1" w:space="0" w:color="000000"/>
            </w:tcBorders>
          </w:tcPr>
          <w:p>
            <w:pPr>
              <w:spacing w:lineRule="auto"/>
            </w:pPr>
            <w:r>
              <w:rPr/>
              <w:t xml:space="preserve">Full name, DOB, address, SSN/TIN present at onboarding</w:t>
            </w:r>
          </w:p>
        </w:tc>
        <w:tc>
          <w:tcPr>
            <w:tcBorders>
              <w:top w:val="single" w:sz="1" w:space="0" w:color="000000"/>
              <w:left w:val="single" w:sz="1" w:space="0" w:color="000000"/>
              <w:bottom w:val="single" w:sz="1" w:space="0" w:color="000000"/>
            </w:tcBorders>
          </w:tcPr>
          <w:p>
            <w:pPr>
              <w:spacing w:lineRule="auto"/>
            </w:pPr>
            <w:r>
              <w:rPr/>
              <w:t xml:space="preserve">Target: 100%; null fields are immediate findings</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 % null or anomalous identity fields</w:t>
            </w:r>
          </w:p>
        </w:tc>
        <w:tc>
          <w:tcPr>
            <w:tcBorders>
              <w:top w:val="single" w:sz="1" w:space="0" w:color="000000"/>
              <w:left w:val="single" w:sz="1" w:space="0" w:color="000000"/>
              <w:bottom w:val="single" w:sz="1" w:space="0" w:color="000000"/>
            </w:tcBorders>
          </w:tcPr>
          <w:p>
            <w:pPr>
              <w:spacing w:lineRule="auto"/>
            </w:pPr>
            <w:r>
              <w:rPr/>
              <w:t xml:space="preserve">Missing or invalid entries by admin system</w:t>
            </w:r>
          </w:p>
        </w:tc>
        <w:tc>
          <w:tcPr>
            <w:tcBorders>
              <w:top w:val="single" w:sz="1" w:space="0" w:color="000000"/>
              <w:left w:val="single" w:sz="1" w:space="0" w:color="000000"/>
              <w:bottom w:val="single" w:sz="1" w:space="0" w:color="000000"/>
            </w:tcBorders>
          </w:tcPr>
          <w:p>
            <w:pPr>
              <w:spacing w:lineRule="auto"/>
            </w:pPr>
            <w:r>
              <w:rPr/>
              <w:t xml:space="preserve">Tracked by system to identify data-feed gaps</w:t>
            </w:r>
          </w:p>
        </w:tc>
      </w:tr>
      <w:tr>
        <w:trPr>
          <w:cantSplit/>
        </w:trPr>
        <w:tc>
          <w:tcPr>
            <w:tcBorders>
              <w:top w:val="single" w:sz="1" w:space="0" w:color="000000"/>
              <w:bottom w:val="single" w:sz="1" w:space="0" w:color="000000"/>
            </w:tcBorders>
          </w:tcPr>
          <w:p>
            <w:pPr>
              <w:spacing w:lineRule="auto"/>
            </w:pPr>
            <w:r>
              <w:rPr/>
              <w:t xml:space="preserve">EDD completion rate</w:t>
            </w:r>
          </w:p>
        </w:tc>
        <w:tc>
          <w:tcPr>
            <w:tcBorders>
              <w:top w:val="single" w:sz="1" w:space="0" w:color="000000"/>
              <w:left w:val="single" w:sz="1" w:space="0" w:color="000000"/>
              <w:bottom w:val="single" w:sz="1" w:space="0" w:color="000000"/>
            </w:tcBorders>
          </w:tcPr>
          <w:p>
            <w:pPr>
              <w:spacing w:lineRule="auto"/>
            </w:pPr>
            <w:r>
              <w:rPr/>
              <w:t xml:space="preserve">Enhanced Due Diligence finished for all high-risk customers</w:t>
            </w:r>
          </w:p>
        </w:tc>
        <w:tc>
          <w:tcPr>
            <w:tcBorders>
              <w:top w:val="single" w:sz="1" w:space="0" w:color="000000"/>
              <w:left w:val="single" w:sz="1" w:space="0" w:color="000000"/>
              <w:bottom w:val="single" w:sz="1" w:space="0" w:color="000000"/>
            </w:tcBorders>
          </w:tcPr>
          <w:p>
            <w:pPr>
              <w:spacing w:lineRule="auto"/>
            </w:pPr>
            <w:r>
              <w:rPr/>
              <w:t xml:space="preserve">Target: 100% of flagged accounts</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high-risk customers flagged</w:t>
            </w:r>
          </w:p>
        </w:tc>
        <w:tc>
          <w:tcPr>
            <w:tcBorders>
              <w:top w:val="single" w:sz="1" w:space="0" w:color="000000"/>
              <w:left w:val="single" w:sz="1" w:space="0" w:color="000000"/>
              <w:bottom w:val="single" w:sz="1" w:space="0" w:color="000000"/>
            </w:tcBorders>
          </w:tcPr>
          <w:p>
            <w:pPr>
              <w:spacing w:lineRule="auto"/>
            </w:pPr>
            <w:r>
              <w:rPr/>
              <w:t xml:space="preserve">New additions to high-risk watch list, period-over-period</w:t>
            </w:r>
          </w:p>
        </w:tc>
        <w:tc>
          <w:tcPr>
            <w:tcBorders>
              <w:top w:val="single" w:sz="1" w:space="0" w:color="000000"/>
              <w:left w:val="single" w:sz="1" w:space="0" w:color="000000"/>
              <w:bottom w:val="single" w:sz="1" w:space="0" w:color="000000"/>
            </w:tcBorders>
          </w:tcPr>
          <w:p>
            <w:pPr>
              <w:spacing w:lineRule="auto"/>
            </w:pPr>
            <w:r>
              <w:rPr/>
              <w:t xml:space="preserve">Trend indicates risk exposure change</w:t>
            </w:r>
          </w:p>
        </w:tc>
      </w:tr>
      <w:tr>
        <w:trPr>
          <w:cantSplit/>
        </w:trPr>
        <w:tc>
          <w:tcPr>
            <w:tcBorders>
              <w:top w:val="single" w:sz="1" w:space="0" w:color="000000"/>
              <w:bottom w:val="single" w:sz="1" w:space="0" w:color="000000"/>
            </w:tcBorders>
          </w:tcPr>
          <w:p>
            <w:pPr>
              <w:spacing w:lineRule="auto"/>
            </w:pPr>
            <w:r>
              <w:rPr/>
              <w:t xml:space="preserve">Overdue periodic review rate</w:t>
            </w:r>
          </w:p>
        </w:tc>
        <w:tc>
          <w:tcPr>
            <w:tcBorders>
              <w:top w:val="single" w:sz="1" w:space="0" w:color="000000"/>
              <w:left w:val="single" w:sz="1" w:space="0" w:color="000000"/>
              <w:bottom w:val="single" w:sz="1" w:space="0" w:color="000000"/>
            </w:tcBorders>
          </w:tcPr>
          <w:p>
            <w:pPr>
              <w:spacing w:lineRule="auto"/>
            </w:pPr>
            <w:r>
              <w:rPr/>
              <w:t xml:space="preserve">High-risk accounts not reviewed within required cycle</w:t>
            </w:r>
          </w:p>
        </w:tc>
        <w:tc>
          <w:tcPr>
            <w:tcBorders>
              <w:top w:val="single" w:sz="1" w:space="0" w:color="000000"/>
              <w:left w:val="single" w:sz="1" w:space="0" w:color="000000"/>
              <w:bottom w:val="single" w:sz="1" w:space="0" w:color="000000"/>
            </w:tcBorders>
          </w:tcPr>
          <w:p>
            <w:pPr>
              <w:spacing w:lineRule="auto"/>
            </w:pPr>
            <w:r>
              <w:rPr/>
              <w:t xml:space="preserve">Target: 0%; each overdue account is a control gap</w:t>
            </w:r>
          </w:p>
        </w:tc>
      </w:tr>
    </w:tbl>
    <w:p>
      <w:pPr>
        <w:spacing w:lineRule="auto"/>
      </w:pPr>
    </w:p>
    <w:p>
      <w:pPr>
        <w:spacing w:line="271" w:before="240" w:lineRule="auto"/>
      </w:pPr>
      <w:bookmarkStart w:id="7" w:name="bm_4_training_culture"/>
      <w:r>
        <w:rPr>
          <w:b/>
          <w:sz w:val="33"/>
        </w:rPr>
        <w:t xml:space="preserve">4. Training &amp; Culture</w:t>
      </w:r>
      <w:bookmarkEnd w:id="7"/>
    </w:p>
    <w:p>
      <w:pPr>
        <w:spacing w:after="210" w:lineRule="auto"/>
      </w:pPr>
      <w:r>
        <w:rPr/>
        <w:t xml:space="preserve">Training completion is a BSA program pillar and the primary source of associate-detection referrals in non-bank financial institutions.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Benchmark / Threshold</w:t>
            </w:r>
          </w:p>
        </w:tc>
      </w:tr>
      <w:tr>
        <w:trPr>
          <w:cantSplit/>
        </w:trPr>
        <w:tc>
          <w:tcPr>
            <w:tcBorders>
              <w:top w:val="single" w:sz="1" w:space="0" w:color="000000"/>
              <w:bottom w:val="single" w:sz="1" w:space="0" w:color="000000"/>
            </w:tcBorders>
          </w:tcPr>
          <w:p>
            <w:pPr>
              <w:spacing w:lineRule="auto"/>
            </w:pPr>
            <w:r>
              <w:rPr/>
              <w:t xml:space="preserve">% associates completing AML training</w:t>
            </w:r>
          </w:p>
        </w:tc>
        <w:tc>
          <w:tcPr>
            <w:tcBorders>
              <w:top w:val="single" w:sz="1" w:space="0" w:color="000000"/>
              <w:left w:val="single" w:sz="1" w:space="0" w:color="000000"/>
              <w:bottom w:val="single" w:sz="1" w:space="0" w:color="000000"/>
            </w:tcBorders>
          </w:tcPr>
          <w:p>
            <w:pPr>
              <w:spacing w:lineRule="auto"/>
            </w:pPr>
            <w:r>
              <w:rPr/>
              <w:t xml:space="preserve">Annual completion rate by business unit</w:t>
            </w:r>
          </w:p>
        </w:tc>
        <w:tc>
          <w:tcPr>
            <w:tcBorders>
              <w:top w:val="single" w:sz="1" w:space="0" w:color="000000"/>
              <w:left w:val="single" w:sz="1" w:space="0" w:color="000000"/>
              <w:bottom w:val="single" w:sz="1" w:space="0" w:color="000000"/>
            </w:tcBorders>
          </w:tcPr>
          <w:p>
            <w:pPr>
              <w:spacing w:lineRule="auto"/>
            </w:pPr>
            <w:r>
              <w:rPr/>
              <w:t xml:space="preserve">Target: 100% by due date; &lt;95% = program gap</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internal SIRF referrals (associate detection)</w:t>
            </w:r>
          </w:p>
        </w:tc>
        <w:tc>
          <w:tcPr>
            <w:tcBorders>
              <w:top w:val="single" w:sz="1" w:space="0" w:color="000000"/>
              <w:left w:val="single" w:sz="1" w:space="0" w:color="000000"/>
              <w:bottom w:val="single" w:sz="1" w:space="0" w:color="000000"/>
            </w:tcBorders>
          </w:tcPr>
          <w:p>
            <w:pPr>
              <w:spacing w:lineRule="auto"/>
            </w:pPr>
            <w:r>
              <w:rPr/>
              <w:t xml:space="preserve">Volume of referrals sourced from trained associates</w:t>
            </w:r>
          </w:p>
        </w:tc>
        <w:tc>
          <w:tcPr>
            <w:tcBorders>
              <w:top w:val="single" w:sz="1" w:space="0" w:color="000000"/>
              <w:left w:val="single" w:sz="1" w:space="0" w:color="000000"/>
              <w:bottom w:val="single" w:sz="1" w:space="0" w:color="000000"/>
            </w:tcBorders>
          </w:tcPr>
          <w:p>
            <w:pPr>
              <w:spacing w:lineRule="auto"/>
            </w:pPr>
            <w:r>
              <w:rPr/>
              <w:t xml:space="preserve">Higher = healthier culture; baseline and trend both matter</w:t>
            </w:r>
          </w:p>
        </w:tc>
      </w:tr>
      <w:tr>
        <w:trPr>
          <w:cantSplit/>
        </w:trPr>
        <w:tc>
          <w:tcPr>
            <w:tcBorders>
              <w:top w:val="single" w:sz="1" w:space="0" w:color="000000"/>
              <w:bottom w:val="single" w:sz="1" w:space="0" w:color="000000"/>
            </w:tcBorders>
          </w:tcPr>
          <w:p>
            <w:pPr>
              <w:spacing w:lineRule="auto"/>
            </w:pPr>
            <w:r>
              <w:rPr/>
              <w:t xml:space="preserve">Training completion by LOB</w:t>
            </w:r>
          </w:p>
        </w:tc>
        <w:tc>
          <w:tcPr>
            <w:tcBorders>
              <w:top w:val="single" w:sz="1" w:space="0" w:color="000000"/>
              <w:left w:val="single" w:sz="1" w:space="0" w:color="000000"/>
              <w:bottom w:val="single" w:sz="1" w:space="0" w:color="000000"/>
            </w:tcBorders>
          </w:tcPr>
          <w:p>
            <w:pPr>
              <w:spacing w:lineRule="auto"/>
            </w:pPr>
            <w:r>
              <w:rPr/>
              <w:t xml:space="preserve">Segmented by line of business / legal entity</w:t>
            </w:r>
          </w:p>
        </w:tc>
        <w:tc>
          <w:tcPr>
            <w:tcBorders>
              <w:top w:val="single" w:sz="1" w:space="0" w:color="000000"/>
              <w:left w:val="single" w:sz="1" w:space="0" w:color="000000"/>
              <w:bottom w:val="single" w:sz="1" w:space="0" w:color="000000"/>
            </w:tcBorders>
          </w:tcPr>
          <w:p>
            <w:pPr>
              <w:spacing w:lineRule="auto"/>
            </w:pPr>
            <w:r>
              <w:rPr/>
              <w:t xml:space="preserve">Identifies which units carry higher undetected-risk exposure</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key_risk_indicators_kris"/>
      <w:r>
        <w:rPr>
          <w:b/>
          <w:sz w:val="42"/>
        </w:rPr>
        <w:t xml:space="preserve">Key Risk Indicators (KRIs)</w:t>
      </w:r>
      <w:bookmarkEnd w:id="8"/>
    </w:p>
    <w:p>
      <w:pPr>
        <w:spacing w:after="210" w:lineRule="auto"/>
      </w:pPr>
      <w:r>
        <w:rPr>
          <w:rFonts w:eastAsia="Georgia" w:cs="Georgia" w:ascii="Georgia" w:hAnsi="Georgia"/>
        </w:rPr>
        <w:t xml:space="preserve">KRIs are leading indicators — they measure conditions that predict future control failures or regulatory findings, not current performance. A well-designed KRI framework triggers management attention before a KPI degrades or an examiner identifies a gap.</w:t>
      </w:r>
    </w:p>
    <w:p>
      <w:pPr>
        <w:spacing w:line="271" w:before="240" w:lineRule="auto"/>
      </w:pPr>
      <w:bookmarkStart w:id="9" w:name="bm_1_monitoring_program_risk"/>
      <w:r>
        <w:rPr>
          <w:b/>
          <w:sz w:val="33"/>
        </w:rPr>
        <w:t xml:space="preserve">1. Monitoring Program Risk</w:t>
      </w:r>
      <w:bookmarkEnd w:id="9"/>
    </w:p>
    <w:p>
      <w:pPr>
        <w:spacing w:after="210" w:lineRule="auto"/>
      </w:pPr>
      <w:r>
        <w:rPr>
          <w:rFonts w:eastAsia="Georgia" w:cs="Georgia" w:ascii="Georgia" w:hAnsi="Georgia"/>
        </w:rPr>
        <w:t xml:space="preserve">These KRIs assess whether the detection infrastructure itself is sound — a critical concern for companies with multiple legacy policy administration systems.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Indicator</w:t>
            </w:r>
          </w:p>
        </w:tc>
        <w:tc>
          <w:tcPr>
            <w:tcBorders>
              <w:top w:val="single" w:sz="1" w:space="0" w:color="000000"/>
              <w:left w:val="single" w:sz="1" w:space="0" w:color="000000"/>
              <w:bottom w:val="single" w:sz="1" w:space="0" w:color="000000"/>
            </w:tcBorders>
          </w:tcPr>
          <w:p>
            <w:pPr>
              <w:spacing w:lineRule="auto"/>
            </w:pPr>
            <w:r>
              <w:rPr/>
              <w:t xml:space="preserve">Risk Signal</w:t>
            </w:r>
          </w:p>
        </w:tc>
        <w:tc>
          <w:tcPr>
            <w:tcBorders>
              <w:top w:val="single" w:sz="1" w:space="0" w:color="000000"/>
              <w:left w:val="single" w:sz="1" w:space="0" w:color="000000"/>
              <w:bottom w:val="single" w:sz="1" w:space="0" w:color="000000"/>
            </w:tcBorders>
          </w:tcPr>
          <w:p>
            <w:pPr>
              <w:spacing w:lineRule="auto"/>
            </w:pPr>
            <w:r>
              <w:rPr/>
              <w:t xml:space="preserve">Trigger Threshold</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monitoring rules not reviewed in &gt;12 months</w:t>
            </w:r>
          </w:p>
        </w:tc>
        <w:tc>
          <w:tcPr>
            <w:tcBorders>
              <w:top w:val="single" w:sz="1" w:space="0" w:color="000000"/>
              <w:left w:val="single" w:sz="1" w:space="0" w:color="000000"/>
              <w:bottom w:val="single" w:sz="1" w:space="0" w:color="000000"/>
            </w:tcBorders>
          </w:tcPr>
          <w:p>
            <w:pPr>
              <w:spacing w:lineRule="auto"/>
            </w:pPr>
            <w:r>
              <w:rPr/>
              <w:t xml:space="preserve">Stale rules miss emerging typologies</w:t>
            </w:r>
          </w:p>
        </w:tc>
        <w:tc>
          <w:tcPr>
            <w:tcBorders>
              <w:top w:val="single" w:sz="1" w:space="0" w:color="000000"/>
              <w:left w:val="single" w:sz="1" w:space="0" w:color="000000"/>
              <w:bottom w:val="single" w:sz="1" w:space="0" w:color="000000"/>
            </w:tcBorders>
          </w:tcPr>
          <w:p>
            <w:pPr>
              <w:spacing w:lineRule="auto"/>
            </w:pPr>
            <w:r>
              <w:rPr/>
              <w:t xml:space="preserve">Any rule untouched for 12 months</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admin systems NOT feeding transaction monitoring</w:t>
            </w:r>
          </w:p>
        </w:tc>
        <w:tc>
          <w:tcPr>
            <w:tcBorders>
              <w:top w:val="single" w:sz="1" w:space="0" w:color="000000"/>
              <w:left w:val="single" w:sz="1" w:space="0" w:color="000000"/>
              <w:bottom w:val="single" w:sz="1" w:space="0" w:color="000000"/>
            </w:tcBorders>
          </w:tcPr>
          <w:p>
            <w:pPr>
              <w:spacing w:lineRule="auto"/>
            </w:pPr>
            <w:r>
              <w:rPr/>
              <w:t xml:space="preserve">Coverage gaps creating blind spots</w:t>
            </w:r>
          </w:p>
        </w:tc>
        <w:tc>
          <w:tcPr>
            <w:tcBorders>
              <w:top w:val="single" w:sz="1" w:space="0" w:color="000000"/>
              <w:left w:val="single" w:sz="1" w:space="0" w:color="000000"/>
              <w:bottom w:val="single" w:sz="1" w:space="0" w:color="000000"/>
            </w:tcBorders>
          </w:tcPr>
          <w:p>
            <w:pPr>
              <w:spacing w:lineRule="auto"/>
            </w:pPr>
            <w:r>
              <w:rPr/>
              <w:t xml:space="preserve">Any unconnected system with AML-in-scope activity</w:t>
            </w:r>
          </w:p>
        </w:tc>
      </w:tr>
      <w:tr>
        <w:trPr>
          <w:cantSplit/>
        </w:trPr>
        <w:tc>
          <w:tcPr>
            <w:tcBorders>
              <w:top w:val="single" w:sz="1" w:space="0" w:color="000000"/>
              <w:bottom w:val="single" w:sz="1" w:space="0" w:color="000000"/>
            </w:tcBorders>
          </w:tcPr>
          <w:p>
            <w:pPr>
              <w:spacing w:lineRule="auto"/>
            </w:pPr>
            <w:r>
              <w:rPr/>
              <w:t xml:space="preserve">Monitoring population coverage %</w:t>
            </w:r>
          </w:p>
        </w:tc>
        <w:tc>
          <w:tcPr>
            <w:tcBorders>
              <w:top w:val="single" w:sz="1" w:space="0" w:color="000000"/>
              <w:left w:val="single" w:sz="1" w:space="0" w:color="000000"/>
              <w:bottom w:val="single" w:sz="1" w:space="0" w:color="000000"/>
            </w:tcBorders>
          </w:tcPr>
          <w:p>
            <w:pPr>
              <w:spacing w:lineRule="auto"/>
            </w:pPr>
            <w:r>
              <w:rPr/>
              <w:t xml:space="preserve">% of in-scope policies/accounts actively monitored</w:t>
            </w:r>
          </w:p>
        </w:tc>
        <w:tc>
          <w:tcPr>
            <w:tcBorders>
              <w:top w:val="single" w:sz="1" w:space="0" w:color="000000"/>
              <w:left w:val="single" w:sz="1" w:space="0" w:color="000000"/>
              <w:bottom w:val="single" w:sz="1" w:space="0" w:color="000000"/>
            </w:tcBorders>
          </w:tcPr>
          <w:p>
            <w:pPr>
              <w:spacing w:lineRule="auto"/>
            </w:pPr>
            <w:r>
              <w:rPr/>
              <w:t xml:space="preserve">&lt;100% requires documented risk acceptance</w:t>
            </w:r>
          </w:p>
        </w:tc>
      </w:tr>
      <w:tr>
        <w:trPr>
          <w:cantSplit/>
        </w:trPr>
        <w:tc>
          <w:tcPr>
            <w:tcBorders>
              <w:top w:val="single" w:sz="1" w:space="0" w:color="000000"/>
              <w:bottom w:val="single" w:sz="1" w:space="0" w:color="000000"/>
            </w:tcBorders>
          </w:tcPr>
          <w:p>
            <w:pPr>
              <w:spacing w:lineRule="auto"/>
            </w:pPr>
            <w:r>
              <w:rPr/>
              <w:t xml:space="preserve">OFAC screening feed completeness</w:t>
            </w:r>
          </w:p>
        </w:tc>
        <w:tc>
          <w:tcPr>
            <w:tcBorders>
              <w:top w:val="single" w:sz="1" w:space="0" w:color="000000"/>
              <w:left w:val="single" w:sz="1" w:space="0" w:color="000000"/>
              <w:bottom w:val="single" w:sz="1" w:space="0" w:color="000000"/>
            </w:tcBorders>
          </w:tcPr>
          <w:p>
            <w:pPr>
              <w:spacing w:lineRule="auto"/>
            </w:pPr>
            <w:r>
              <w:rPr/>
              <w:t xml:space="preserve">Active feeds vs. total required feeds</w:t>
            </w:r>
          </w:p>
        </w:tc>
        <w:tc>
          <w:tcPr>
            <w:tcBorders>
              <w:top w:val="single" w:sz="1" w:space="0" w:color="000000"/>
              <w:left w:val="single" w:sz="1" w:space="0" w:color="000000"/>
              <w:bottom w:val="single" w:sz="1" w:space="0" w:color="000000"/>
            </w:tcBorders>
          </w:tcPr>
          <w:p>
            <w:pPr>
              <w:spacing w:lineRule="auto"/>
            </w:pPr>
            <w:r>
              <w:rPr/>
              <w:t xml:space="preserve">Any feed offline or erroring is a sanctions exposure</w:t>
            </w:r>
          </w:p>
        </w:tc>
      </w:tr>
      <w:tr>
        <w:trPr>
          <w:cantSplit/>
        </w:trPr>
        <w:tc>
          <w:tcPr>
            <w:tcBorders>
              <w:top w:val="single" w:sz="1" w:space="0" w:color="000000"/>
              <w:bottom w:val="single" w:sz="1" w:space="0" w:color="000000"/>
            </w:tcBorders>
          </w:tcPr>
          <w:p>
            <w:pPr>
              <w:spacing w:lineRule="auto"/>
            </w:pPr>
            <w:r>
              <w:rPr/>
              <w:t xml:space="preserve">Days since last independent model validation</w:t>
            </w:r>
          </w:p>
        </w:tc>
        <w:tc>
          <w:tcPr>
            <w:tcBorders>
              <w:top w:val="single" w:sz="1" w:space="0" w:color="000000"/>
              <w:left w:val="single" w:sz="1" w:space="0" w:color="000000"/>
              <w:bottom w:val="single" w:sz="1" w:space="0" w:color="000000"/>
            </w:tcBorders>
          </w:tcPr>
          <w:p>
            <w:pPr>
              <w:spacing w:lineRule="auto"/>
            </w:pPr>
            <w:r>
              <w:rPr/>
              <w:t xml:space="preserve">Unvalidated models carry unquantified risk</w:t>
            </w:r>
          </w:p>
        </w:tc>
        <w:tc>
          <w:tcPr>
            <w:tcBorders>
              <w:top w:val="single" w:sz="1" w:space="0" w:color="000000"/>
              <w:left w:val="single" w:sz="1" w:space="0" w:color="000000"/>
              <w:bottom w:val="single" w:sz="1" w:space="0" w:color="000000"/>
            </w:tcBorders>
          </w:tcPr>
          <w:p>
            <w:pPr>
              <w:spacing w:lineRule="auto"/>
            </w:pPr>
            <w:r>
              <w:rPr/>
              <w:t xml:space="preserve">Escalate at &gt;365 days; critical at &gt;730 days</w:t>
            </w:r>
          </w:p>
        </w:tc>
      </w:tr>
    </w:tbl>
    <w:p>
      <w:pPr>
        <w:spacing w:lineRule="auto"/>
      </w:pPr>
    </w:p>
    <w:p>
      <w:pPr>
        <w:spacing w:line="271" w:before="240" w:lineRule="auto"/>
      </w:pPr>
      <w:bookmarkStart w:id="10" w:name="bm_2_typology_trend_risk"/>
      <w:r>
        <w:rPr>
          <w:b/>
          <w:sz w:val="33"/>
        </w:rPr>
        <w:t xml:space="preserve">2. Typology &amp; Trend Risk</w:t>
      </w:r>
      <w:bookmarkEnd w:id="10"/>
    </w:p>
    <w:p>
      <w:pPr>
        <w:spacing w:after="210" w:lineRule="auto"/>
      </w:pPr>
      <w:r>
        <w:rPr/>
        <w:t xml:space="preserve">Insurance-specific money laundering typologies differ materially from bank typologies. Key red flags per FinCEN and ACAMS include policy loan abuse, rapid premium cycling, and beneficiary manipulation.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Indicator</w:t>
            </w:r>
          </w:p>
        </w:tc>
        <w:tc>
          <w:tcPr>
            <w:tcBorders>
              <w:top w:val="single" w:sz="1" w:space="0" w:color="000000"/>
              <w:left w:val="single" w:sz="1" w:space="0" w:color="000000"/>
              <w:bottom w:val="single" w:sz="1" w:space="0" w:color="000000"/>
            </w:tcBorders>
          </w:tcPr>
          <w:p>
            <w:pPr>
              <w:spacing w:lineRule="auto"/>
            </w:pPr>
            <w:r>
              <w:rPr/>
              <w:t xml:space="preserve">Risk Signal</w:t>
            </w:r>
          </w:p>
        </w:tc>
        <w:tc>
          <w:tcPr>
            <w:tcBorders>
              <w:top w:val="single" w:sz="1" w:space="0" w:color="000000"/>
              <w:left w:val="single" w:sz="1" w:space="0" w:color="000000"/>
              <w:bottom w:val="single" w:sz="1" w:space="0" w:color="000000"/>
            </w:tcBorders>
          </w:tcPr>
          <w:p>
            <w:pPr>
              <w:spacing w:lineRule="auto"/>
            </w:pPr>
            <w:r>
              <w:rPr/>
              <w:t xml:space="preserve">Trigger Threshold</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consecutive policy loan SAR cases (QoQ)</w:t>
            </w:r>
          </w:p>
        </w:tc>
        <w:tc>
          <w:tcPr>
            <w:tcBorders>
              <w:top w:val="single" w:sz="1" w:space="0" w:color="000000"/>
              <w:left w:val="single" w:sz="1" w:space="0" w:color="000000"/>
              <w:bottom w:val="single" w:sz="1" w:space="0" w:color="000000"/>
            </w:tcBorders>
          </w:tcPr>
          <w:p>
            <w:pPr>
              <w:spacing w:lineRule="auto"/>
            </w:pPr>
            <w:r>
              <w:rPr/>
              <w:t xml:space="preserve">Structured loan abuse as ML placement mechanism</w:t>
            </w:r>
          </w:p>
        </w:tc>
        <w:tc>
          <w:tcPr>
            <w:tcBorders>
              <w:top w:val="single" w:sz="1" w:space="0" w:color="000000"/>
              <w:left w:val="single" w:sz="1" w:space="0" w:color="000000"/>
              <w:bottom w:val="single" w:sz="1" w:space="0" w:color="000000"/>
            </w:tcBorders>
          </w:tcPr>
          <w:p>
            <w:pPr>
              <w:spacing w:lineRule="auto"/>
            </w:pPr>
            <w:r>
              <w:rPr/>
              <w:t xml:space="preserve">&gt;10% QoQ increase triggers review</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large/rapid cash-value surrenders flagged</w:t>
            </w:r>
          </w:p>
        </w:tc>
        <w:tc>
          <w:tcPr>
            <w:tcBorders>
              <w:top w:val="single" w:sz="1" w:space="0" w:color="000000"/>
              <w:left w:val="single" w:sz="1" w:space="0" w:color="000000"/>
              <w:bottom w:val="single" w:sz="1" w:space="0" w:color="000000"/>
            </w:tcBorders>
          </w:tcPr>
          <w:p>
            <w:pPr>
              <w:spacing w:lineRule="auto"/>
            </w:pPr>
            <w:r>
              <w:rPr/>
              <w:t xml:space="preserve">Early surrender after large premium = layering indicator</w:t>
            </w:r>
          </w:p>
        </w:tc>
        <w:tc>
          <w:tcPr>
            <w:tcBorders>
              <w:top w:val="single" w:sz="1" w:space="0" w:color="000000"/>
              <w:left w:val="single" w:sz="1" w:space="0" w:color="000000"/>
              <w:bottom w:val="single" w:sz="1" w:space="0" w:color="000000"/>
            </w:tcBorders>
          </w:tcPr>
          <w:p>
            <w:pPr>
              <w:spacing w:lineRule="auto"/>
            </w:pPr>
            <w:r>
              <w:rPr/>
              <w:t xml:space="preserve">Spike above 3-month average</w:t>
            </w:r>
          </w:p>
        </w:tc>
      </w:tr>
      <w:tr>
        <w:trPr>
          <w:cantSplit/>
        </w:trPr>
        <w:tc>
          <w:tcPr>
            <w:tcBorders>
              <w:top w:val="single" w:sz="1" w:space="0" w:color="000000"/>
              <w:bottom w:val="single" w:sz="1" w:space="0" w:color="000000"/>
            </w:tcBorders>
          </w:tcPr>
          <w:p>
            <w:pPr>
              <w:spacing w:lineRule="auto"/>
            </w:pPr>
            <w:r>
              <w:rPr/>
              <w:t xml:space="preserve">Elder exploitation case volume trend</w:t>
            </w:r>
          </w:p>
        </w:tc>
        <w:tc>
          <w:tcPr>
            <w:tcBorders>
              <w:top w:val="single" w:sz="1" w:space="0" w:color="000000"/>
              <w:left w:val="single" w:sz="1" w:space="0" w:color="000000"/>
              <w:bottom w:val="single" w:sz="1" w:space="0" w:color="000000"/>
            </w:tcBorders>
          </w:tcPr>
          <w:p>
            <w:pPr>
              <w:spacing w:lineRule="auto"/>
            </w:pPr>
            <w:r>
              <w:rPr/>
              <w:t xml:space="preserve">Indicator of social engineering and account takeover risk</w:t>
            </w:r>
          </w:p>
        </w:tc>
        <w:tc>
          <w:tcPr>
            <w:tcBorders>
              <w:top w:val="single" w:sz="1" w:space="0" w:color="000000"/>
              <w:left w:val="single" w:sz="1" w:space="0" w:color="000000"/>
              <w:bottom w:val="single" w:sz="1" w:space="0" w:color="000000"/>
            </w:tcBorders>
          </w:tcPr>
          <w:p>
            <w:pPr>
              <w:spacing w:lineRule="auto"/>
            </w:pPr>
            <w:r>
              <w:rPr/>
              <w:t xml:space="preserve">Any upward trend triggers enhanced monitoring</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314(a) matches with SAR-able activity</w:t>
            </w:r>
          </w:p>
        </w:tc>
        <w:tc>
          <w:tcPr>
            <w:tcBorders>
              <w:top w:val="single" w:sz="1" w:space="0" w:color="000000"/>
              <w:left w:val="single" w:sz="1" w:space="0" w:color="000000"/>
              <w:bottom w:val="single" w:sz="1" w:space="0" w:color="000000"/>
            </w:tcBorders>
          </w:tcPr>
          <w:p>
            <w:pPr>
              <w:spacing w:lineRule="auto"/>
            </w:pPr>
            <w:r>
              <w:rPr/>
              <w:t xml:space="preserve">Law enforcement interest in customer base</w:t>
            </w:r>
          </w:p>
        </w:tc>
        <w:tc>
          <w:tcPr>
            <w:tcBorders>
              <w:top w:val="single" w:sz="1" w:space="0" w:color="000000"/>
              <w:left w:val="single" w:sz="1" w:space="0" w:color="000000"/>
              <w:bottom w:val="single" w:sz="1" w:space="0" w:color="000000"/>
            </w:tcBorders>
          </w:tcPr>
          <w:p>
            <w:pPr>
              <w:spacing w:lineRule="auto"/>
            </w:pPr>
            <w:r>
              <w:rPr/>
              <w:t xml:space="preserve">Any match with unresolved investigation</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cases linked to single agent/producer</w:t>
            </w:r>
          </w:p>
        </w:tc>
        <w:tc>
          <w:tcPr>
            <w:tcBorders>
              <w:top w:val="single" w:sz="1" w:space="0" w:color="000000"/>
              <w:left w:val="single" w:sz="1" w:space="0" w:color="000000"/>
              <w:bottom w:val="single" w:sz="1" w:space="0" w:color="000000"/>
            </w:tcBorders>
          </w:tcPr>
          <w:p>
            <w:pPr>
              <w:spacing w:lineRule="auto"/>
            </w:pPr>
            <w:r>
              <w:rPr/>
              <w:t xml:space="preserve">Producer-facilitated schemes; concentration risk</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 linked cases triggers producer review</w:t>
            </w:r>
          </w:p>
        </w:tc>
      </w:tr>
    </w:tbl>
    <w:p>
      <w:pPr>
        <w:spacing w:lineRule="auto"/>
      </w:pPr>
    </w:p>
    <w:p>
      <w:pPr>
        <w:spacing w:line="271" w:before="240" w:lineRule="auto"/>
      </w:pPr>
      <w:bookmarkStart w:id="11" w:name="bm_3_regulatory_program_risk"/>
      <w:r>
        <w:rPr>
          <w:b/>
          <w:sz w:val="33"/>
        </w:rPr>
        <w:t xml:space="preserve">3. Regulatory &amp; Program Risk</w:t>
      </w:r>
      <w:bookmarkEnd w:id="11"/>
    </w:p>
    <w:p>
      <w:pPr>
        <w:spacing w:after="210" w:lineRule="auto"/>
      </w:pPr>
      <w:r>
        <w:rPr>
          <w:rFonts w:eastAsia="Georgia" w:cs="Georgia" w:ascii="Georgia" w:hAnsi="Georgia"/>
        </w:rPr>
        <w:t xml:space="preserve">These KRIs track whether the compliance program itself remains current, tested, and free of unresolved issues — the dimensions examiners assess in a BSA program review.</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Indicator</w:t>
            </w:r>
          </w:p>
        </w:tc>
        <w:tc>
          <w:tcPr>
            <w:tcBorders>
              <w:top w:val="single" w:sz="1" w:space="0" w:color="000000"/>
              <w:left w:val="single" w:sz="1" w:space="0" w:color="000000"/>
              <w:bottom w:val="single" w:sz="1" w:space="0" w:color="000000"/>
            </w:tcBorders>
          </w:tcPr>
          <w:p>
            <w:pPr>
              <w:spacing w:lineRule="auto"/>
            </w:pPr>
            <w:r>
              <w:rPr/>
              <w:t xml:space="preserve">Risk Signal</w:t>
            </w:r>
          </w:p>
        </w:tc>
        <w:tc>
          <w:tcPr>
            <w:tcBorders>
              <w:top w:val="single" w:sz="1" w:space="0" w:color="000000"/>
              <w:left w:val="single" w:sz="1" w:space="0" w:color="000000"/>
              <w:bottom w:val="single" w:sz="1" w:space="0" w:color="000000"/>
            </w:tcBorders>
          </w:tcPr>
          <w:p>
            <w:pPr>
              <w:spacing w:lineRule="auto"/>
            </w:pPr>
            <w:r>
              <w:rPr/>
              <w:t xml:space="preserve">Trigger Threshold</w:t>
            </w:r>
          </w:p>
        </w:tc>
      </w:tr>
      <w:tr>
        <w:trPr>
          <w:cantSplit/>
        </w:trPr>
        <w:tc>
          <w:tcPr>
            <w:tcBorders>
              <w:top w:val="single" w:sz="1" w:space="0" w:color="000000"/>
              <w:bottom w:val="single" w:sz="1" w:space="0" w:color="000000"/>
            </w:tcBorders>
          </w:tcPr>
          <w:p>
            <w:pPr>
              <w:spacing w:lineRule="auto"/>
            </w:pPr>
            <w:r>
              <w:rPr/>
              <w:t xml:space="preserve">Days since last AML program review per entity</w:t>
            </w:r>
          </w:p>
        </w:tc>
        <w:tc>
          <w:tcPr>
            <w:tcBorders>
              <w:top w:val="single" w:sz="1" w:space="0" w:color="000000"/>
              <w:left w:val="single" w:sz="1" w:space="0" w:color="000000"/>
              <w:bottom w:val="single" w:sz="1" w:space="0" w:color="000000"/>
            </w:tcBorders>
          </w:tcPr>
          <w:p>
            <w:pPr>
              <w:spacing w:lineRule="auto"/>
            </w:pPr>
            <w:r>
              <w:rPr/>
              <w:t xml:space="preserve">Programs require annual independent review per BSA</w:t>
            </w:r>
          </w:p>
        </w:tc>
        <w:tc>
          <w:tcPr>
            <w:tcBorders>
              <w:top w:val="single" w:sz="1" w:space="0" w:color="000000"/>
              <w:left w:val="single" w:sz="1" w:space="0" w:color="000000"/>
              <w:bottom w:val="single" w:sz="1" w:space="0" w:color="000000"/>
            </w:tcBorders>
          </w:tcPr>
          <w:p>
            <w:pPr>
              <w:spacing w:lineRule="auto"/>
            </w:pPr>
            <w:r>
              <w:rPr/>
              <w:t xml:space="preserve">&gt;365 days for any required legal entity</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open audit findings by age bucket (30/60/90+ days)</w:t>
            </w:r>
          </w:p>
        </w:tc>
        <w:tc>
          <w:tcPr>
            <w:tcBorders>
              <w:top w:val="single" w:sz="1" w:space="0" w:color="000000"/>
              <w:left w:val="single" w:sz="1" w:space="0" w:color="000000"/>
              <w:bottom w:val="single" w:sz="1" w:space="0" w:color="000000"/>
            </w:tcBorders>
          </w:tcPr>
          <w:p>
            <w:pPr>
              <w:spacing w:lineRule="auto"/>
            </w:pPr>
            <w:r>
              <w:rPr/>
              <w:t xml:space="preserve">Unresolved findings signal control degradation</w:t>
            </w:r>
          </w:p>
        </w:tc>
        <w:tc>
          <w:tcPr>
            <w:tcBorders>
              <w:top w:val="single" w:sz="1" w:space="0" w:color="000000"/>
              <w:left w:val="single" w:sz="1" w:space="0" w:color="000000"/>
              <w:bottom w:val="single" w:sz="1" w:space="0" w:color="000000"/>
            </w:tcBorders>
          </w:tcPr>
          <w:p>
            <w:pPr>
              <w:spacing w:lineRule="auto"/>
            </w:pPr>
            <w:r>
              <w:rPr/>
              <w:t xml:space="preserve">Any finding &gt;90 days past due date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repeat audit findings year over year</w:t>
            </w:r>
          </w:p>
        </w:tc>
        <w:tc>
          <w:tcPr>
            <w:tcBorders>
              <w:top w:val="single" w:sz="1" w:space="0" w:color="000000"/>
              <w:left w:val="single" w:sz="1" w:space="0" w:color="000000"/>
              <w:bottom w:val="single" w:sz="1" w:space="0" w:color="000000"/>
            </w:tcBorders>
          </w:tcPr>
          <w:p>
            <w:pPr>
              <w:spacing w:lineRule="auto"/>
            </w:pPr>
            <w:r>
              <w:rPr/>
              <w:t xml:space="preserve">Systemic control weakness not being remediated</w:t>
            </w:r>
          </w:p>
        </w:tc>
        <w:tc>
          <w:tcPr>
            <w:tcBorders>
              <w:top w:val="single" w:sz="1" w:space="0" w:color="000000"/>
              <w:left w:val="single" w:sz="1" w:space="0" w:color="000000"/>
              <w:bottom w:val="single" w:sz="1" w:space="0" w:color="000000"/>
            </w:tcBorders>
          </w:tcPr>
          <w:p>
            <w:pPr>
              <w:spacing w:lineRule="auto"/>
            </w:pPr>
            <w:r>
              <w:rPr/>
              <w:t xml:space="preserve">Any repeat finding = elevated risk rating</w:t>
            </w:r>
          </w:p>
        </w:tc>
      </w:tr>
      <w:tr>
        <w:trPr>
          <w:cantSplit/>
        </w:trPr>
        <w:tc>
          <w:tcPr>
            <w:tcBorders>
              <w:top w:val="single" w:sz="1" w:space="0" w:color="000000"/>
              <w:bottom w:val="single" w:sz="1" w:space="0" w:color="000000"/>
            </w:tcBorders>
          </w:tcPr>
          <w:p>
            <w:pPr>
              <w:spacing w:lineRule="auto"/>
            </w:pPr>
            <w:r>
              <w:rPr/>
              <w:t xml:space="preserve">BSA regulatory change lag</w:t>
            </w:r>
          </w:p>
        </w:tc>
        <w:tc>
          <w:tcPr>
            <w:tcBorders>
              <w:top w:val="single" w:sz="1" w:space="0" w:color="000000"/>
              <w:left w:val="single" w:sz="1" w:space="0" w:color="000000"/>
              <w:bottom w:val="single" w:sz="1" w:space="0" w:color="000000"/>
            </w:tcBorders>
          </w:tcPr>
          <w:p>
            <w:pPr>
              <w:spacing w:lineRule="auto"/>
            </w:pPr>
            <w:r>
              <w:rPr/>
              <w:t xml:space="preserve">Days since last review of applicable regulatory changes</w:t>
            </w:r>
          </w:p>
        </w:tc>
        <w:tc>
          <w:tcPr>
            <w:tcBorders>
              <w:top w:val="single" w:sz="1" w:space="0" w:color="000000"/>
              <w:left w:val="single" w:sz="1" w:space="0" w:color="000000"/>
              <w:bottom w:val="single" w:sz="1" w:space="0" w:color="000000"/>
            </w:tcBorders>
          </w:tcPr>
          <w:p>
            <w:pPr>
              <w:spacing w:lineRule="auto"/>
            </w:pPr>
            <w:r>
              <w:rPr/>
              <w:t xml:space="preserve">&gt;180 days without regulatory review is a program gap</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entities without a current AML risk assessment</w:t>
            </w:r>
          </w:p>
        </w:tc>
        <w:tc>
          <w:tcPr>
            <w:tcBorders>
              <w:top w:val="single" w:sz="1" w:space="0" w:color="000000"/>
              <w:left w:val="single" w:sz="1" w:space="0" w:color="000000"/>
              <w:bottom w:val="single" w:sz="1" w:space="0" w:color="000000"/>
            </w:tcBorders>
          </w:tcPr>
          <w:p>
            <w:pPr>
              <w:spacing w:lineRule="auto"/>
            </w:pPr>
            <w:r>
              <w:rPr/>
              <w:t xml:space="preserve">Each regulated entity requires its own current assessment</w:t>
            </w:r>
          </w:p>
        </w:tc>
        <w:tc>
          <w:tcPr>
            <w:tcBorders>
              <w:top w:val="single" w:sz="1" w:space="0" w:color="000000"/>
              <w:left w:val="single" w:sz="1" w:space="0" w:color="000000"/>
              <w:bottom w:val="single" w:sz="1" w:space="0" w:color="000000"/>
            </w:tcBorders>
          </w:tcPr>
          <w:p>
            <w:pPr>
              <w:spacing w:lineRule="auto"/>
            </w:pPr>
            <w:r>
              <w:rPr/>
              <w:t xml:space="preserve">Any entity without a risk assessment completed in &lt;12 months</w:t>
            </w:r>
          </w:p>
        </w:tc>
      </w:tr>
    </w:tbl>
    <w:p>
      <w:pPr>
        <w:spacing w:lineRule="auto"/>
      </w:pPr>
    </w:p>
    <w:p>
      <w:pPr>
        <w:spacing w:line="271" w:before="240" w:lineRule="auto"/>
      </w:pPr>
      <w:bookmarkStart w:id="12" w:name="bm_4_operational_capacity_risk"/>
      <w:r>
        <w:rPr>
          <w:b/>
          <w:sz w:val="33"/>
        </w:rPr>
        <w:t xml:space="preserve">4. Operational &amp; Capacity Risk</w:t>
      </w:r>
      <w:bookmarkEnd w:id="12"/>
    </w:p>
    <w:p>
      <w:pPr>
        <w:spacing w:after="210" w:lineRule="auto"/>
      </w:pPr>
      <w:r>
        <w:rPr>
          <w:rFonts w:eastAsia="Georgia" w:cs="Georgia" w:ascii="Georgia" w:hAnsi="Georgia"/>
        </w:rPr>
        <w:t xml:space="preserve">Capacity constraints are one of the most common root causes of BSA/AML control failures — particularly SAR timeliness violations. These KRIs detect stress before it becomes a breach.</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Indicator</w:t>
            </w:r>
          </w:p>
        </w:tc>
        <w:tc>
          <w:tcPr>
            <w:tcBorders>
              <w:top w:val="single" w:sz="1" w:space="0" w:color="000000"/>
              <w:left w:val="single" w:sz="1" w:space="0" w:color="000000"/>
              <w:bottom w:val="single" w:sz="1" w:space="0" w:color="000000"/>
            </w:tcBorders>
          </w:tcPr>
          <w:p>
            <w:pPr>
              <w:spacing w:lineRule="auto"/>
            </w:pPr>
            <w:r>
              <w:rPr/>
              <w:t xml:space="preserve">Risk Signal</w:t>
            </w:r>
          </w:p>
        </w:tc>
        <w:tc>
          <w:tcPr>
            <w:tcBorders>
              <w:top w:val="single" w:sz="1" w:space="0" w:color="000000"/>
              <w:left w:val="single" w:sz="1" w:space="0" w:color="000000"/>
              <w:bottom w:val="single" w:sz="1" w:space="0" w:color="000000"/>
            </w:tcBorders>
          </w:tcPr>
          <w:p>
            <w:pPr>
              <w:spacing w:lineRule="auto"/>
            </w:pPr>
            <w:r>
              <w:rPr/>
              <w:t xml:space="preserve">Trigger Threshold</w:t>
            </w:r>
          </w:p>
        </w:tc>
      </w:tr>
      <w:tr>
        <w:trPr>
          <w:cantSplit/>
        </w:trPr>
        <w:tc>
          <w:tcPr>
            <w:tcBorders>
              <w:top w:val="single" w:sz="1" w:space="0" w:color="000000"/>
              <w:bottom w:val="single" w:sz="1" w:space="0" w:color="000000"/>
            </w:tcBorders>
          </w:tcPr>
          <w:p>
            <w:pPr>
              <w:spacing w:lineRule="auto"/>
            </w:pPr>
            <w:r>
              <w:rPr/>
              <w:t xml:space="preserve">Investigator caseload (open cases per FTE)</w:t>
            </w:r>
          </w:p>
        </w:tc>
        <w:tc>
          <w:tcPr>
            <w:tcBorders>
              <w:top w:val="single" w:sz="1" w:space="0" w:color="000000"/>
              <w:left w:val="single" w:sz="1" w:space="0" w:color="000000"/>
              <w:bottom w:val="single" w:sz="1" w:space="0" w:color="000000"/>
            </w:tcBorders>
          </w:tcPr>
          <w:p>
            <w:pPr>
              <w:spacing w:lineRule="auto"/>
            </w:pPr>
            <w:r>
              <w:rPr/>
              <w:t xml:space="preserve">Overloaded investigators miss deadlines and quality signals</w:t>
            </w:r>
          </w:p>
        </w:tc>
        <w:tc>
          <w:tcPr>
            <w:tcBorders>
              <w:top w:val="single" w:sz="1" w:space="0" w:color="000000"/>
              <w:left w:val="single" w:sz="1" w:space="0" w:color="000000"/>
              <w:bottom w:val="single" w:sz="1" w:space="0" w:color="000000"/>
            </w:tcBorders>
          </w:tcPr>
          <w:p>
            <w:pPr>
              <w:spacing w:lineRule="auto"/>
            </w:pPr>
            <w:r>
              <w:rPr/>
              <w:t xml:space="preserve">Escalate when any FTE carries &gt;15 open cases</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investigations approaching 50-day threshold</w:t>
            </w:r>
          </w:p>
        </w:tc>
        <w:tc>
          <w:tcPr>
            <w:tcBorders>
              <w:top w:val="single" w:sz="1" w:space="0" w:color="000000"/>
              <w:left w:val="single" w:sz="1" w:space="0" w:color="000000"/>
              <w:bottom w:val="single" w:sz="1" w:space="0" w:color="000000"/>
            </w:tcBorders>
          </w:tcPr>
          <w:p>
            <w:pPr>
              <w:spacing w:lineRule="auto"/>
            </w:pPr>
            <w:r>
              <w:rPr/>
              <w:t xml:space="preserve">Predictive signal for SLA breach before it occurs</w:t>
            </w:r>
          </w:p>
        </w:tc>
        <w:tc>
          <w:tcPr>
            <w:tcBorders>
              <w:top w:val="single" w:sz="1" w:space="0" w:color="000000"/>
              <w:left w:val="single" w:sz="1" w:space="0" w:color="000000"/>
              <w:bottom w:val="single" w:sz="1" w:space="0" w:color="000000"/>
            </w:tcBorders>
          </w:tcPr>
          <w:p>
            <w:pPr>
              <w:spacing w:lineRule="auto"/>
            </w:pPr>
            <w:r>
              <w:rPr/>
              <w:t xml:space="preserve">Any case at day 50 without near-complete investigation</w:t>
            </w:r>
          </w:p>
        </w:tc>
      </w:tr>
      <w:tr>
        <w:trPr>
          <w:cantSplit/>
        </w:trPr>
        <w:tc>
          <w:tcPr>
            <w:tcBorders>
              <w:top w:val="single" w:sz="1" w:space="0" w:color="000000"/>
              <w:bottom w:val="single" w:sz="1" w:space="0" w:color="000000"/>
            </w:tcBorders>
          </w:tcPr>
          <w:p>
            <w:pPr>
              <w:spacing w:lineRule="auto"/>
            </w:pPr>
            <w:r>
              <w:rPr/>
              <w:t xml:space="preserve">Watch list overdue for periodic review</w:t>
            </w:r>
          </w:p>
        </w:tc>
        <w:tc>
          <w:tcPr>
            <w:tcBorders>
              <w:top w:val="single" w:sz="1" w:space="0" w:color="000000"/>
              <w:left w:val="single" w:sz="1" w:space="0" w:color="000000"/>
              <w:bottom w:val="single" w:sz="1" w:space="0" w:color="000000"/>
            </w:tcBorders>
          </w:tcPr>
          <w:p>
            <w:pPr>
              <w:spacing w:lineRule="auto"/>
            </w:pPr>
            <w:r>
              <w:rPr/>
              <w:t xml:space="preserve">Semi-annual/annual reviews missed = stale risk designations</w:t>
            </w:r>
          </w:p>
        </w:tc>
        <w:tc>
          <w:tcPr>
            <w:tcBorders>
              <w:top w:val="single" w:sz="1" w:space="0" w:color="000000"/>
              <w:left w:val="single" w:sz="1" w:space="0" w:color="000000"/>
              <w:bottom w:val="single" w:sz="1" w:space="0" w:color="000000"/>
            </w:tcBorders>
          </w:tcPr>
          <w:p>
            <w:pPr>
              <w:spacing w:lineRule="auto"/>
            </w:pPr>
            <w:r>
              <w:rPr/>
              <w:t xml:space="preserve">Any account past review cycle date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cases in QC queue &gt;5 days</w:t>
            </w:r>
          </w:p>
        </w:tc>
        <w:tc>
          <w:tcPr>
            <w:tcBorders>
              <w:top w:val="single" w:sz="1" w:space="0" w:color="000000"/>
              <w:left w:val="single" w:sz="1" w:space="0" w:color="000000"/>
              <w:bottom w:val="single" w:sz="1" w:space="0" w:color="000000"/>
            </w:tcBorders>
          </w:tcPr>
          <w:p>
            <w:pPr>
              <w:spacing w:lineRule="auto"/>
            </w:pPr>
            <w:r>
              <w:rPr/>
              <w:t xml:space="preserve">QC backlog delays SAR filing clock</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 cases queued &gt;5 days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implementation_guidance"/>
      <w:r>
        <w:rPr>
          <w:b/>
          <w:sz w:val="42"/>
        </w:rPr>
        <w:t xml:space="preserve">Implementation Guidance</w:t>
      </w:r>
      <w:bookmarkEnd w:id="13"/>
    </w:p>
    <w:p>
      <w:pPr>
        <w:spacing w:line="271" w:before="240" w:lineRule="auto"/>
      </w:pPr>
      <w:bookmarkStart w:id="14" w:name="measurement_cadence"/>
      <w:r>
        <w:rPr>
          <w:b/>
          <w:sz w:val="33"/>
        </w:rPr>
        <w:t xml:space="preserve">Measurement Cadence</w:t>
      </w:r>
      <w:bookmarkEnd w:id="14"/>
    </w:p>
    <w:p>
      <w:pPr>
        <w:spacing w:after="210" w:lineRule="auto"/>
      </w:pPr>
      <w:r>
        <w:rPr/>
        <w:t xml:space="preserve">Not all metrics require the same frequency. A tiered cadence reduces operational burden while maintaining continuous awareness:</w:t>
      </w:r>
    </w:p>
    <w:p>
      <w:pPr>
        <w:numPr>
          <w:ilvl w:val="0"/>
          <w:numId w:val="1"/>
        </w:numPr>
        <w:spacing w:lineRule="auto"/>
      </w:pPr>
      <w:r>
        <w:rPr>
          <w:b/>
        </w:rPr>
        <w:t xml:space="preserve">Daily / Real-time</w:t>
      </w:r>
      <w:r>
        <w:rPr/>
        <w:t xml:space="preserve">: Alert SLA aging, cases approaching 50-day threshold, OFAC feed status</w:t>
      </w:r>
    </w:p>
    <w:p>
      <w:pPr>
        <w:numPr>
          <w:ilvl w:val="0"/>
          <w:numId w:val="1"/>
        </w:numPr>
        <w:spacing w:lineRule="auto"/>
      </w:pPr>
      <w:r>
        <w:rPr>
          <w:b/>
        </w:rPr>
        <w:t xml:space="preserve">Weekly</w:t>
      </w:r>
      <w:r>
        <w:rPr/>
        <w:t xml:space="preserve">: Investigator caseload, QC queue depth, new SIRF volume</w:t>
      </w:r>
    </w:p>
    <w:p>
      <w:pPr>
        <w:numPr>
          <w:ilvl w:val="0"/>
          <w:numId w:val="1"/>
        </w:numPr>
        <w:spacing w:lineRule="auto"/>
      </w:pPr>
      <w:r>
        <w:rPr>
          <w:b/>
        </w:rPr>
        <w:t xml:space="preserve">Monthly</w:t>
      </w:r>
      <w:r>
        <w:rPr/>
        <w:t xml:space="preserve">: SAR conversion rate, false positive rate, open findings aging, typology trends</w:t>
      </w:r>
    </w:p>
    <w:p>
      <w:pPr>
        <w:numPr>
          <w:ilvl w:val="0"/>
          <w:numId w:val="1"/>
        </w:numPr>
        <w:spacing w:lineRule="auto"/>
      </w:pPr>
      <w:r>
        <w:rPr>
          <w:b/>
        </w:rPr>
        <w:t xml:space="preserve">Quarterly</w:t>
      </w:r>
      <w:r>
        <w:rPr/>
        <w:t xml:space="preserve">: KRI dashboard review by compliance leadership, training completion, coverage gap assessment</w:t>
      </w:r>
    </w:p>
    <w:p>
      <w:pPr>
        <w:numPr>
          <w:ilvl w:val="0"/>
          <w:numId w:val="1"/>
        </w:numPr>
        <w:spacing w:lineRule="auto"/>
      </w:pPr>
      <w:r>
        <w:rPr>
          <w:b/>
        </w:rPr>
        <w:t xml:space="preserve">Annually</w:t>
      </w:r>
      <w:r>
        <w:rPr/>
        <w:t xml:space="preserve">: Full program review per entity, regulatory mapping refresh, model validation</w:t>
      </w:r>
    </w:p>
    <w:p>
      <w:pPr>
        <w:spacing w:line="271" w:before="240" w:lineRule="auto"/>
      </w:pPr>
      <w:bookmarkStart w:id="15" w:name="kpi_vs_kri_the_critical_distinction"/>
      <w:r>
        <w:rPr>
          <w:b/>
          <w:sz w:val="33"/>
        </w:rPr>
        <w:t xml:space="preserve">KPI vs. KRI: The Critical Distinction</w:t>
      </w:r>
      <w:bookmarkEnd w:id="15"/>
    </w:p>
    <w:p>
      <w:pPr>
        <w:spacing w:after="210" w:lineRule="auto"/>
      </w:pPr>
      <w:r>
        <w:rPr/>
        <w:t xml:space="preserve">The most common maturity gap is organizations that track KPIs but have no formal KRI program. KPIs tell you the car is running; KRIs tell you the brakes are wearing out. For AML/BSA specifically:</w:t>
      </w:r>
    </w:p>
    <w:p>
      <w:pPr>
        <w:numPr>
          <w:ilvl w:val="0"/>
          <w:numId w:val="2"/>
        </w:numPr>
        <w:spacing w:lineRule="auto"/>
      </w:pPr>
      <w:r>
        <w:rPr/>
        <w:t xml:space="preserve">A </w:t>
      </w:r>
      <w:r>
        <w:rPr>
          <w:b/>
        </w:rPr>
        <w:t xml:space="preserve">low false positive rate</w:t>
      </w:r>
      <w:r>
        <w:rPr/>
        <w:t xml:space="preserve"> (KPI) paired with a </w:t>
      </w:r>
      <w:r>
        <w:rPr>
          <w:b/>
        </w:rPr>
        <w:t xml:space="preserve">high coverage gap</w:t>
      </w:r>
      <w:r>
        <w:rPr/>
        <w:t xml:space="preserve"> (KRI) means the program looks efficient but is systematically missing risk</w:t>
      </w:r>
    </w:p>
    <w:p>
      <w:pPr>
        <w:numPr>
          <w:ilvl w:val="0"/>
          <w:numId w:val="2"/>
        </w:numPr>
        <w:spacing w:lineRule="auto"/>
      </w:pPr>
      <w:r>
        <w:rPr>
          <w:b/>
        </w:rPr>
        <w:t xml:space="preserve">On-time SAR filing</w:t>
      </w:r>
      <w:r>
        <w:rPr/>
        <w:t xml:space="preserve"> (KPI) paired with </w:t>
      </w:r>
      <w:r>
        <w:rPr>
          <w:b/>
        </w:rPr>
        <w:t xml:space="preserve">high investigator caseload</w:t>
      </w:r>
      <w:r>
        <w:rPr/>
        <w:t xml:space="preserve"> (KRI) signals that timeliness will degrade soon</w:t>
      </w:r>
    </w:p>
    <w:p>
      <w:pPr>
        <w:numPr>
          <w:ilvl w:val="0"/>
          <w:numId w:val="2"/>
        </w:numPr>
        <w:spacing w:lineRule="auto"/>
      </w:pPr>
      <w:r>
        <w:rPr>
          <w:b/>
        </w:rPr>
        <w:t xml:space="preserve">100% CIP completion</w:t>
      </w:r>
      <w:r>
        <w:rPr/>
        <w:t xml:space="preserve"> (KPI) paired with </w:t>
      </w:r>
      <w:r>
        <w:rPr>
          <w:b/>
        </w:rPr>
        <w:t xml:space="preserve">unvalidated monitoring rules</w:t>
      </w:r>
      <w:r>
        <w:rPr/>
        <w:t xml:space="preserve"> (KRI) means customers are onboarded correctly but suspicious activity may not be detected</w:t>
      </w:r>
    </w:p>
    <w:p>
      <w:pPr>
        <w:spacing w:line="271" w:before="240" w:lineRule="auto"/>
      </w:pPr>
      <w:bookmarkStart w:id="16" w:name="governance_structure"/>
      <w:r>
        <w:rPr>
          <w:b/>
          <w:sz w:val="33"/>
        </w:rPr>
        <w:t xml:space="preserve">Governance Structure</w:t>
      </w:r>
      <w:bookmarkEnd w:id="16"/>
    </w:p>
    <w:p>
      <w:pPr>
        <w:spacing w:after="210" w:lineRule="auto"/>
      </w:pPr>
      <w:r>
        <w:rPr/>
        <w:t xml:space="preserve">KRIs should feed a formal AML Risk Committee or equivalent governance body meeting at minimum quarterly, with escalation triggers defined in advance. Thresholds should be calibrated to the institution's risk appetite and reviewed annually alongside the enterprise risk assessment.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summary_reference_table"/>
      <w:r>
        <w:rPr>
          <w:b/>
          <w:sz w:val="42"/>
        </w:rPr>
        <w:t xml:space="preserve">Summary Reference Table</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Domain</w:t>
            </w:r>
          </w:p>
        </w:tc>
        <w:tc>
          <w:tcPr>
            <w:tcBorders>
              <w:top w:val="single" w:sz="1" w:space="0" w:color="000000"/>
              <w:left w:val="single" w:sz="1" w:space="0" w:color="000000"/>
              <w:bottom w:val="single" w:sz="1" w:space="0" w:color="000000"/>
            </w:tcBorders>
          </w:tcPr>
          <w:p>
            <w:pPr>
              <w:spacing w:lineRule="auto"/>
            </w:pPr>
            <w:r>
              <w:rPr/>
              <w:t xml:space="preserve">KPI Examples</w:t>
            </w:r>
          </w:p>
        </w:tc>
        <w:tc>
          <w:tcPr>
            <w:tcBorders>
              <w:top w:val="single" w:sz="1" w:space="0" w:color="000000"/>
              <w:left w:val="single" w:sz="1" w:space="0" w:color="000000"/>
              <w:bottom w:val="single" w:sz="1" w:space="0" w:color="000000"/>
            </w:tcBorders>
          </w:tcPr>
          <w:p>
            <w:pPr>
              <w:spacing w:lineRule="auto"/>
            </w:pPr>
            <w:r>
              <w:rPr/>
              <w:t xml:space="preserve">KRI Examples</w:t>
            </w:r>
          </w:p>
        </w:tc>
      </w:tr>
      <w:tr>
        <w:trPr>
          <w:cantSplit/>
        </w:trPr>
        <w:tc>
          <w:tcPr>
            <w:tcBorders>
              <w:top w:val="single" w:sz="1" w:space="0" w:color="000000"/>
              <w:bottom w:val="single" w:sz="1" w:space="0" w:color="000000"/>
            </w:tcBorders>
          </w:tcPr>
          <w:p>
            <w:pPr>
              <w:spacing w:lineRule="auto"/>
            </w:pPr>
            <w:r>
              <w:rPr/>
              <w:t xml:space="preserve">Alert Management</w:t>
            </w:r>
          </w:p>
        </w:tc>
        <w:tc>
          <w:tcPr>
            <w:tcBorders>
              <w:top w:val="single" w:sz="1" w:space="0" w:color="000000"/>
              <w:left w:val="single" w:sz="1" w:space="0" w:color="000000"/>
              <w:bottom w:val="single" w:sz="1" w:space="0" w:color="000000"/>
            </w:tcBorders>
          </w:tcPr>
          <w:p>
            <w:pPr>
              <w:spacing w:lineRule="auto"/>
            </w:pPr>
            <w:r>
              <w:rPr/>
              <w:t xml:space="preserve">False positive rate, SLA compliance</w:t>
            </w:r>
          </w:p>
        </w:tc>
        <w:tc>
          <w:tcPr>
            <w:tcBorders>
              <w:top w:val="single" w:sz="1" w:space="0" w:color="000000"/>
              <w:left w:val="single" w:sz="1" w:space="0" w:color="000000"/>
              <w:bottom w:val="single" w:sz="1" w:space="0" w:color="000000"/>
            </w:tcBorders>
          </w:tcPr>
          <w:p>
            <w:pPr>
              <w:spacing w:lineRule="auto"/>
            </w:pPr>
            <w:r>
              <w:rPr/>
              <w:t xml:space="preserve">Stale rules, uncovered systems</w:t>
            </w:r>
          </w:p>
        </w:tc>
      </w:tr>
      <w:tr>
        <w:trPr>
          <w:cantSplit/>
        </w:trPr>
        <w:tc>
          <w:tcPr>
            <w:tcBorders>
              <w:top w:val="single" w:sz="1" w:space="0" w:color="000000"/>
              <w:bottom w:val="single" w:sz="1" w:space="0" w:color="000000"/>
            </w:tcBorders>
          </w:tcPr>
          <w:p>
            <w:pPr>
              <w:spacing w:lineRule="auto"/>
            </w:pPr>
            <w:r>
              <w:rPr/>
              <w:t xml:space="preserve">SAR/SIRF Reporting</w:t>
            </w:r>
          </w:p>
        </w:tc>
        <w:tc>
          <w:tcPr>
            <w:tcBorders>
              <w:top w:val="single" w:sz="1" w:space="0" w:color="000000"/>
              <w:left w:val="single" w:sz="1" w:space="0" w:color="000000"/>
              <w:bottom w:val="single" w:sz="1" w:space="0" w:color="000000"/>
            </w:tcBorders>
          </w:tcPr>
          <w:p>
            <w:pPr>
              <w:spacing w:lineRule="auto"/>
            </w:pPr>
            <w:r>
              <w:rPr/>
              <w:t xml:space="preserve">Conversion rate, timely filing %</w:t>
            </w:r>
          </w:p>
        </w:tc>
        <w:tc>
          <w:tcPr>
            <w:tcBorders>
              <w:top w:val="single" w:sz="1" w:space="0" w:color="000000"/>
              <w:left w:val="single" w:sz="1" w:space="0" w:color="000000"/>
              <w:bottom w:val="single" w:sz="1" w:space="0" w:color="000000"/>
            </w:tcBorders>
          </w:tcPr>
          <w:p>
            <w:pPr>
              <w:spacing w:lineRule="auto"/>
            </w:pPr>
            <w:r>
              <w:rPr/>
              <w:t xml:space="preserve">SIRF volume drop, detection source shift</w:t>
            </w:r>
          </w:p>
        </w:tc>
      </w:tr>
      <w:tr>
        <w:trPr>
          <w:cantSplit/>
        </w:trPr>
        <w:tc>
          <w:tcPr>
            <w:tcBorders>
              <w:top w:val="single" w:sz="1" w:space="0" w:color="000000"/>
              <w:bottom w:val="single" w:sz="1" w:space="0" w:color="000000"/>
            </w:tcBorders>
          </w:tcPr>
          <w:p>
            <w:pPr>
              <w:spacing w:lineRule="auto"/>
            </w:pPr>
            <w:r>
              <w:rPr/>
              <w:t xml:space="preserve">CIP/KYC</w:t>
            </w:r>
          </w:p>
        </w:tc>
        <w:tc>
          <w:tcPr>
            <w:tcBorders>
              <w:top w:val="single" w:sz="1" w:space="0" w:color="000000"/>
              <w:left w:val="single" w:sz="1" w:space="0" w:color="000000"/>
              <w:bottom w:val="single" w:sz="1" w:space="0" w:color="000000"/>
            </w:tcBorders>
          </w:tcPr>
          <w:p>
            <w:pPr>
              <w:spacing w:lineRule="auto"/>
            </w:pPr>
            <w:r>
              <w:rPr/>
              <w:t xml:space="preserve">Complete fields %, EDD rate</w:t>
            </w:r>
          </w:p>
        </w:tc>
        <w:tc>
          <w:tcPr>
            <w:tcBorders>
              <w:top w:val="single" w:sz="1" w:space="0" w:color="000000"/>
              <w:left w:val="single" w:sz="1" w:space="0" w:color="000000"/>
              <w:bottom w:val="single" w:sz="1" w:space="0" w:color="000000"/>
            </w:tcBorders>
          </w:tcPr>
          <w:p>
            <w:pPr>
              <w:spacing w:lineRule="auto"/>
            </w:pPr>
            <w:r>
              <w:rPr/>
              <w:t xml:space="preserve">Overdue reviews, unconnected admin systems</w:t>
            </w:r>
          </w:p>
        </w:tc>
      </w:tr>
      <w:tr>
        <w:trPr>
          <w:cantSplit/>
        </w:trPr>
        <w:tc>
          <w:tcPr>
            <w:tcBorders>
              <w:top w:val="single" w:sz="1" w:space="0" w:color="000000"/>
              <w:bottom w:val="single" w:sz="1" w:space="0" w:color="000000"/>
            </w:tcBorders>
          </w:tcPr>
          <w:p>
            <w:pPr>
              <w:spacing w:lineRule="auto"/>
            </w:pPr>
            <w:r>
              <w:rPr/>
              <w:t xml:space="preserve">Training</w:t>
            </w:r>
          </w:p>
        </w:tc>
        <w:tc>
          <w:tcPr>
            <w:tcBorders>
              <w:top w:val="single" w:sz="1" w:space="0" w:color="000000"/>
              <w:left w:val="single" w:sz="1" w:space="0" w:color="000000"/>
              <w:bottom w:val="single" w:sz="1" w:space="0" w:color="000000"/>
            </w:tcBorders>
          </w:tcPr>
          <w:p>
            <w:pPr>
              <w:spacing w:lineRule="auto"/>
            </w:pPr>
            <w:r>
              <w:rPr/>
              <w:t xml:space="preserve">Completion %, associate detection rate</w:t>
            </w:r>
          </w:p>
        </w:tc>
        <w:tc>
          <w:tcPr>
            <w:tcBorders>
              <w:top w:val="single" w:sz="1" w:space="0" w:color="000000"/>
              <w:left w:val="single" w:sz="1" w:space="0" w:color="000000"/>
              <w:bottom w:val="single" w:sz="1" w:space="0" w:color="000000"/>
            </w:tcBorders>
          </w:tcPr>
          <w:p>
            <w:pPr>
              <w:spacing w:lineRule="auto"/>
            </w:pPr>
            <w:r>
              <w:rPr/>
              <w:t xml:space="preserve">LOB gaps, declining referral trend</w:t>
            </w:r>
          </w:p>
        </w:tc>
      </w:tr>
      <w:tr>
        <w:trPr>
          <w:cantSplit/>
        </w:trPr>
        <w:tc>
          <w:tcPr>
            <w:tcBorders>
              <w:top w:val="single" w:sz="1" w:space="0" w:color="000000"/>
              <w:bottom w:val="single" w:sz="1" w:space="0" w:color="000000"/>
            </w:tcBorders>
          </w:tcPr>
          <w:p>
            <w:pPr>
              <w:spacing w:lineRule="auto"/>
            </w:pPr>
            <w:r>
              <w:rPr/>
              <w:t xml:space="preserve">Typologies</w:t>
            </w:r>
          </w:p>
        </w:tc>
        <w:tc>
          <w:tcPr>
            <w:tcBorders>
              <w:top w:val="single" w:sz="1" w:space="0" w:color="000000"/>
              <w:left w:val="single" w:sz="1" w:space="0" w:color="000000"/>
              <w:bottom w:val="single" w:sz="1" w:space="0" w:color="000000"/>
            </w:tcBorders>
          </w:tcPr>
          <w:p>
            <w:pPr>
              <w:spacing w:lineRule="auto"/>
            </w:pPr>
            <w:r>
              <w:rPr/>
              <w:t xml:space="preserve">Case volume by category</w:t>
            </w:r>
          </w:p>
        </w:tc>
        <w:tc>
          <w:tcPr>
            <w:tcBorders>
              <w:top w:val="single" w:sz="1" w:space="0" w:color="000000"/>
              <w:left w:val="single" w:sz="1" w:space="0" w:color="000000"/>
              <w:bottom w:val="single" w:sz="1" w:space="0" w:color="000000"/>
            </w:tcBorders>
          </w:tcPr>
          <w:p>
            <w:pPr>
              <w:spacing w:lineRule="auto"/>
            </w:pPr>
            <w:r>
              <w:rPr/>
              <w:t xml:space="preserve">Loan abuse spike, producer concentration</w:t>
            </w:r>
          </w:p>
        </w:tc>
      </w:tr>
      <w:tr>
        <w:trPr>
          <w:cantSplit/>
        </w:trPr>
        <w:tc>
          <w:tcPr>
            <w:tcBorders>
              <w:top w:val="single" w:sz="1" w:space="0" w:color="000000"/>
              <w:bottom w:val="single" w:sz="1" w:space="0" w:color="000000"/>
            </w:tcBorders>
          </w:tcPr>
          <w:p>
            <w:pPr>
              <w:spacing w:lineRule="auto"/>
            </w:pPr>
            <w:r>
              <w:rPr/>
              <w:t xml:space="preserve">Regulatory</w:t>
            </w:r>
          </w:p>
        </w:tc>
        <w:tc>
          <w:tcPr>
            <w:tcBorders>
              <w:top w:val="single" w:sz="1" w:space="0" w:color="000000"/>
              <w:left w:val="single" w:sz="1" w:space="0" w:color="000000"/>
              <w:bottom w:val="single" w:sz="1" w:space="0" w:color="000000"/>
            </w:tcBorders>
          </w:tcPr>
          <w:p>
            <w:pPr>
              <w:spacing w:lineRule="auto"/>
            </w:pPr>
            <w:r>
              <w:rPr/>
              <w:t xml:space="preserve">Open findings age, program review date</w:t>
            </w:r>
          </w:p>
        </w:tc>
        <w:tc>
          <w:tcPr>
            <w:tcBorders>
              <w:top w:val="single" w:sz="1" w:space="0" w:color="000000"/>
              <w:left w:val="single" w:sz="1" w:space="0" w:color="000000"/>
              <w:bottom w:val="single" w:sz="1" w:space="0" w:color="000000"/>
            </w:tcBorders>
          </w:tcPr>
          <w:p>
            <w:pPr>
              <w:spacing w:lineRule="auto"/>
            </w:pPr>
            <w:r>
              <w:rPr/>
              <w:t xml:space="preserve">Repeat findings, reg change lag</w:t>
            </w:r>
          </w:p>
        </w:tc>
      </w:tr>
      <w:tr>
        <w:trPr>
          <w:cantSplit/>
        </w:trPr>
        <w:tc>
          <w:tcPr>
            <w:tcBorders>
              <w:top w:val="single" w:sz="1" w:space="0" w:color="000000"/>
              <w:bottom w:val="single" w:sz="1" w:space="0" w:color="000000"/>
            </w:tcBorders>
          </w:tcPr>
          <w:p>
            <w:pPr>
              <w:spacing w:lineRule="auto"/>
            </w:pPr>
            <w:r>
              <w:rPr/>
              <w:t xml:space="preserve">Operations</w:t>
            </w:r>
          </w:p>
        </w:tc>
        <w:tc>
          <w:tcPr>
            <w:tcBorders>
              <w:top w:val="single" w:sz="1" w:space="0" w:color="000000"/>
              <w:left w:val="single" w:sz="1" w:space="0" w:color="000000"/>
              <w:bottom w:val="single" w:sz="1" w:space="0" w:color="000000"/>
            </w:tcBorders>
          </w:tcPr>
          <w:p>
            <w:pPr>
              <w:spacing w:lineRule="auto"/>
            </w:pPr>
            <w:r>
              <w:rPr/>
              <w:t xml:space="preserve">Caseload per FTE, QC queue</w:t>
            </w:r>
          </w:p>
        </w:tc>
        <w:tc>
          <w:tcPr>
            <w:tcBorders>
              <w:top w:val="single" w:sz="1" w:space="0" w:color="000000"/>
              <w:left w:val="single" w:sz="1" w:space="0" w:color="000000"/>
              <w:bottom w:val="single" w:sz="1" w:space="0" w:color="000000"/>
            </w:tcBorders>
          </w:tcPr>
          <w:p>
            <w:pPr>
              <w:spacing w:lineRule="auto"/>
            </w:pPr>
            <w:r>
              <w:rPr/>
              <w:t xml:space="preserve">50-day threshold cases, watch list overdue</w:t>
            </w:r>
          </w:p>
        </w:tc>
      </w:tr>
    </w:tbl>
    <w:p>
      <w:pPr>
        <w:spacing w:lineRule="auto"/>
      </w:pP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2026-03-18T04:10:30.936Z</dcterms:created>
  <dcterms:modified xsi:type="dcterms:W3CDTF">2026-03-18T04:10:30.936Z</dcterms:modified>
</cp:coreProperties>
</file>