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GitHub Migration - Test Strategy Plan</w:t>
      </w:r>
    </w:p>
    <w:p>
      <w:pPr>
        <w:pStyle w:val="Normal"/>
        <w:rPr>
          <w:color w:val="0033AC"/>
          <w:sz w:val="32"/>
          <w:szCs w:val="32"/>
        </w:rPr>
      </w:pPr>
      <w:r>
        <w:rPr>
          <w:color w:val="0033AC"/>
          <w:sz w:val="32"/>
          <w:szCs w:val="32"/>
        </w:rPr>
        <w:t>Document Purpose</w:t>
      </w:r>
    </w:p>
    <w:p>
      <w:pPr>
        <w:pStyle w:val="Normal"/>
        <w:rPr/>
      </w:pPr>
      <w:r>
        <w:rPr/>
        <w:t xml:space="preserve">This document contains the proposed </w:t>
      </w:r>
      <w:r>
        <w:rPr>
          <w:b/>
          <w:bCs/>
        </w:rPr>
        <w:t xml:space="preserve">Test Strategy Plan </w:t>
      </w:r>
      <w:r>
        <w:rPr/>
        <w:t>for the Consolidation of HealthSpring (HS) GitHub into  HCSC GitHub.</w:t>
      </w:r>
    </w:p>
    <w:sdt>
      <w:sdtPr>
        <w:docPartObj>
          <w:docPartGallery w:val="Table of Contents"/>
          <w:docPartUnique w:val="true"/>
        </w:docPartObj>
      </w:sdtPr>
      <w:sdtContent>
        <w:p>
          <w:pPr>
            <w:pStyle w:val="TOCHeading"/>
            <w:spacing w:lineRule="auto" w:line="259" w:before="240" w:after="0"/>
            <w:rPr>
              <w:sz w:val="32"/>
              <w:szCs w:val="32"/>
            </w:rPr>
          </w:pPr>
          <w:r>
            <w:rPr>
              <w:sz w:val="32"/>
              <w:szCs w:val="32"/>
            </w:rPr>
            <w:t>Contents</w:t>
          </w:r>
        </w:p>
        <w:p>
          <w:pPr>
            <w:pStyle w:val="TOC2"/>
            <w:tabs>
              <w:tab w:val="clear" w:pos="72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84_3011997666">
            <w:r>
              <w:rPr>
                <w:webHidden/>
                <w:rStyle w:val="IndexLink"/>
              </w:rPr>
              <w:t>1. Overview</w:t>
              <w:tab/>
              <w:t>2</w:t>
            </w:r>
          </w:hyperlink>
        </w:p>
        <w:p>
          <w:pPr>
            <w:pStyle w:val="TOC2"/>
            <w:tabs>
              <w:tab w:val="clear" w:pos="720"/>
              <w:tab w:val="right" w:pos="9359" w:leader="dot"/>
            </w:tabs>
            <w:rPr/>
          </w:pPr>
          <w:hyperlink w:anchor="__RefHeading___Toc2386_3011997666">
            <w:r>
              <w:rPr>
                <w:webHidden/>
                <w:rStyle w:val="IndexLink"/>
              </w:rPr>
              <w:t>2. Overall Quality Test Vision</w:t>
              <w:tab/>
              <w:t>3</w:t>
            </w:r>
          </w:hyperlink>
        </w:p>
        <w:p>
          <w:pPr>
            <w:pStyle w:val="TOC2"/>
            <w:tabs>
              <w:tab w:val="clear" w:pos="720"/>
              <w:tab w:val="right" w:pos="9359" w:leader="dot"/>
            </w:tabs>
            <w:rPr/>
          </w:pPr>
          <w:hyperlink w:anchor="__RefHeading___Toc2388_3011997666">
            <w:r>
              <w:rPr>
                <w:webHidden/>
                <w:rStyle w:val="IndexLink"/>
              </w:rPr>
              <w:t>3. Test Objectives</w:t>
              <w:tab/>
              <w:t>3</w:t>
            </w:r>
          </w:hyperlink>
        </w:p>
        <w:p>
          <w:pPr>
            <w:pStyle w:val="TOC2"/>
            <w:tabs>
              <w:tab w:val="clear" w:pos="720"/>
              <w:tab w:val="right" w:pos="9359" w:leader="dot"/>
            </w:tabs>
            <w:rPr/>
          </w:pPr>
          <w:hyperlink w:anchor="__RefHeading___Toc2390_3011997666">
            <w:r>
              <w:rPr>
                <w:webHidden/>
                <w:rStyle w:val="IndexLink"/>
              </w:rPr>
              <w:t>4. Scope of the Full Migration Test</w:t>
              <w:tab/>
              <w:t>3</w:t>
            </w:r>
          </w:hyperlink>
        </w:p>
        <w:p>
          <w:pPr>
            <w:pStyle w:val="TOC3"/>
            <w:tabs>
              <w:tab w:val="clear" w:pos="720"/>
              <w:tab w:val="right" w:pos="9359" w:leader="dot"/>
            </w:tabs>
            <w:rPr/>
          </w:pPr>
          <w:hyperlink w:anchor="__RefHeading___Toc2392_3011997666">
            <w:r>
              <w:rPr>
                <w:webHidden/>
                <w:rStyle w:val="IndexLink"/>
              </w:rPr>
              <w:t>4.1 Full repository inventory</w:t>
              <w:tab/>
              <w:t>3</w:t>
            </w:r>
          </w:hyperlink>
        </w:p>
        <w:p>
          <w:pPr>
            <w:pStyle w:val="TOC3"/>
            <w:tabs>
              <w:tab w:val="clear" w:pos="720"/>
              <w:tab w:val="right" w:pos="9359" w:leader="dot"/>
            </w:tabs>
            <w:rPr/>
          </w:pPr>
          <w:hyperlink w:anchor="__RefHeading___Toc2394_3011997666">
            <w:r>
              <w:rPr>
                <w:webHidden/>
                <w:rStyle w:val="IndexLink"/>
              </w:rPr>
              <w:t>4.2 Organization configuration emulation</w:t>
              <w:tab/>
              <w:t>4</w:t>
            </w:r>
          </w:hyperlink>
        </w:p>
        <w:p>
          <w:pPr>
            <w:pStyle w:val="TOC3"/>
            <w:tabs>
              <w:tab w:val="clear" w:pos="720"/>
              <w:tab w:val="right" w:pos="9359" w:leader="dot"/>
            </w:tabs>
            <w:rPr/>
          </w:pPr>
          <w:hyperlink w:anchor="__RefHeading___Toc2396_3011997666">
            <w:r>
              <w:rPr>
                <w:webHidden/>
                <w:rStyle w:val="IndexLink"/>
              </w:rPr>
              <w:t>4.3 In Scope</w:t>
              <w:tab/>
              <w:t>4</w:t>
            </w:r>
          </w:hyperlink>
        </w:p>
        <w:p>
          <w:pPr>
            <w:pStyle w:val="TOC3"/>
            <w:tabs>
              <w:tab w:val="clear" w:pos="720"/>
              <w:tab w:val="right" w:pos="9359" w:leader="dot"/>
            </w:tabs>
            <w:rPr/>
          </w:pPr>
          <w:hyperlink w:anchor="__RefHeading___Toc2398_3011997666">
            <w:r>
              <w:rPr>
                <w:webHidden/>
                <w:rStyle w:val="IndexLink"/>
              </w:rPr>
              <w:t>4.4 Out of Scope</w:t>
              <w:tab/>
              <w:t>4</w:t>
            </w:r>
          </w:hyperlink>
        </w:p>
        <w:p>
          <w:pPr>
            <w:pStyle w:val="TOC2"/>
            <w:tabs>
              <w:tab w:val="clear" w:pos="720"/>
              <w:tab w:val="right" w:pos="9359" w:leader="dot"/>
            </w:tabs>
            <w:rPr/>
          </w:pPr>
          <w:hyperlink w:anchor="__RefHeading___Toc2400_3011997666">
            <w:r>
              <w:rPr>
                <w:webHidden/>
                <w:rStyle w:val="IndexLink"/>
              </w:rPr>
              <w:t>5. Test Environment</w:t>
              <w:tab/>
              <w:t>5</w:t>
            </w:r>
          </w:hyperlink>
        </w:p>
        <w:p>
          <w:pPr>
            <w:pStyle w:val="TOC3"/>
            <w:tabs>
              <w:tab w:val="clear" w:pos="720"/>
              <w:tab w:val="right" w:pos="9359" w:leader="dot"/>
            </w:tabs>
            <w:rPr/>
          </w:pPr>
          <w:hyperlink w:anchor="__RefHeading___Toc2402_3011997666">
            <w:r>
              <w:rPr>
                <w:webHidden/>
                <w:rStyle w:val="IndexLink"/>
              </w:rPr>
              <w:t>5.1 HCSC temporary organization</w:t>
              <w:tab/>
              <w:t>5</w:t>
            </w:r>
          </w:hyperlink>
        </w:p>
        <w:p>
          <w:pPr>
            <w:pStyle w:val="TOC3"/>
            <w:tabs>
              <w:tab w:val="clear" w:pos="720"/>
              <w:tab w:val="right" w:pos="9359" w:leader="dot"/>
            </w:tabs>
            <w:rPr/>
          </w:pPr>
          <w:hyperlink w:anchor="__RefHeading___Toc2404_3011997666">
            <w:r>
              <w:rPr>
                <w:webHidden/>
                <w:rStyle w:val="IndexLink"/>
              </w:rPr>
              <w:t>5.2 IAM test baseline</w:t>
              <w:tab/>
              <w:t>5</w:t>
            </w:r>
          </w:hyperlink>
        </w:p>
        <w:p>
          <w:pPr>
            <w:pStyle w:val="TOC2"/>
            <w:tabs>
              <w:tab w:val="clear" w:pos="720"/>
              <w:tab w:val="right" w:pos="9359" w:leader="dot"/>
            </w:tabs>
            <w:rPr/>
          </w:pPr>
          <w:hyperlink w:anchor="__RefHeading___Toc2406_3011997666">
            <w:r>
              <w:rPr>
                <w:webHidden/>
                <w:rStyle w:val="IndexLink"/>
              </w:rPr>
              <w:t>6. Runner and Networking Test Strategy</w:t>
              <w:tab/>
              <w:t>5</w:t>
            </w:r>
          </w:hyperlink>
        </w:p>
        <w:p>
          <w:pPr>
            <w:pStyle w:val="TOC3"/>
            <w:tabs>
              <w:tab w:val="clear" w:pos="720"/>
              <w:tab w:val="right" w:pos="9359" w:leader="dot"/>
            </w:tabs>
            <w:rPr/>
          </w:pPr>
          <w:hyperlink w:anchor="__RefHeading___Toc2408_3011997666">
            <w:r>
              <w:rPr>
                <w:webHidden/>
                <w:rStyle w:val="IndexLink"/>
              </w:rPr>
              <w:t>6.1 GitHub-hosted/public runners</w:t>
              <w:tab/>
              <w:t>5</w:t>
            </w:r>
          </w:hyperlink>
        </w:p>
        <w:p>
          <w:pPr>
            <w:pStyle w:val="TOC3"/>
            <w:tabs>
              <w:tab w:val="clear" w:pos="720"/>
              <w:tab w:val="right" w:pos="9359" w:leader="dot"/>
            </w:tabs>
            <w:rPr/>
          </w:pPr>
          <w:hyperlink w:anchor="__RefHeading___Toc2410_3011997666">
            <w:r>
              <w:rPr>
                <w:webHidden/>
                <w:rStyle w:val="IndexLink"/>
              </w:rPr>
              <w:t>6.2 Azure private-networked GitHub runners</w:t>
              <w:tab/>
              <w:t>6</w:t>
            </w:r>
          </w:hyperlink>
        </w:p>
        <w:p>
          <w:pPr>
            <w:pStyle w:val="TOC3"/>
            <w:tabs>
              <w:tab w:val="clear" w:pos="720"/>
              <w:tab w:val="right" w:pos="9359" w:leader="dot"/>
            </w:tabs>
            <w:rPr/>
          </w:pPr>
          <w:hyperlink w:anchor="__RefHeading___Toc2412_3011997666">
            <w:r>
              <w:rPr>
                <w:webHidden/>
                <w:rStyle w:val="IndexLink"/>
              </w:rPr>
              <w:t>6.3 Self-hosted runners</w:t>
              <w:tab/>
              <w:t>6</w:t>
            </w:r>
          </w:hyperlink>
        </w:p>
        <w:p>
          <w:pPr>
            <w:pStyle w:val="TOC3"/>
            <w:tabs>
              <w:tab w:val="clear" w:pos="720"/>
              <w:tab w:val="right" w:pos="9359" w:leader="dot"/>
            </w:tabs>
            <w:rPr/>
          </w:pPr>
          <w:hyperlink w:anchor="__RefHeading___Toc2414_3011997666">
            <w:r>
              <w:rPr>
                <w:webHidden/>
                <w:rStyle w:val="IndexLink"/>
              </w:rPr>
              <w:t>6.4 Current Self-Hosted runner examples to cover</w:t>
              <w:tab/>
              <w:t>6</w:t>
            </w:r>
          </w:hyperlink>
        </w:p>
        <w:p>
          <w:pPr>
            <w:pStyle w:val="TOC2"/>
            <w:tabs>
              <w:tab w:val="clear" w:pos="720"/>
              <w:tab w:val="right" w:pos="9359" w:leader="dot"/>
            </w:tabs>
            <w:rPr/>
          </w:pPr>
          <w:hyperlink w:anchor="__RefHeading___Toc2416_3011997666">
            <w:r>
              <w:rPr>
                <w:webHidden/>
                <w:rStyle w:val="IndexLink"/>
              </w:rPr>
              <w:t>7. Dependencies and Responsibilities</w:t>
              <w:tab/>
              <w:t>7</w:t>
            </w:r>
          </w:hyperlink>
        </w:p>
        <w:p>
          <w:pPr>
            <w:pStyle w:val="TOC3"/>
            <w:tabs>
              <w:tab w:val="clear" w:pos="720"/>
              <w:tab w:val="right" w:pos="9359" w:leader="dot"/>
            </w:tabs>
            <w:rPr/>
          </w:pPr>
          <w:hyperlink w:anchor="__RefHeading___Toc2418_3011997666">
            <w:r>
              <w:rPr>
                <w:webHidden/>
                <w:rStyle w:val="IndexLink"/>
              </w:rPr>
              <w:t>7.1 HCSC dependencies</w:t>
              <w:tab/>
              <w:t>7</w:t>
            </w:r>
          </w:hyperlink>
        </w:p>
        <w:p>
          <w:pPr>
            <w:pStyle w:val="TOC3"/>
            <w:tabs>
              <w:tab w:val="clear" w:pos="720"/>
              <w:tab w:val="right" w:pos="9359" w:leader="dot"/>
            </w:tabs>
            <w:rPr/>
          </w:pPr>
          <w:hyperlink w:anchor="__RefHeading___Toc2420_3011997666">
            <w:r>
              <w:rPr>
                <w:webHidden/>
                <w:rStyle w:val="IndexLink"/>
              </w:rPr>
              <w:t>7.2 HS dependencies</w:t>
              <w:tab/>
              <w:t>7</w:t>
            </w:r>
          </w:hyperlink>
        </w:p>
        <w:p>
          <w:pPr>
            <w:pStyle w:val="TOC3"/>
            <w:tabs>
              <w:tab w:val="clear" w:pos="720"/>
              <w:tab w:val="right" w:pos="9359" w:leader="dot"/>
            </w:tabs>
            <w:rPr/>
          </w:pPr>
          <w:hyperlink w:anchor="__RefHeading___Toc2422_3011997666">
            <w:r>
              <w:rPr>
                <w:webHidden/>
                <w:rStyle w:val="IndexLink"/>
              </w:rPr>
              <w:t>7.3 Joint dependencies</w:t>
              <w:tab/>
              <w:t>7</w:t>
            </w:r>
          </w:hyperlink>
        </w:p>
        <w:p>
          <w:pPr>
            <w:pStyle w:val="TOC3"/>
            <w:tabs>
              <w:tab w:val="clear" w:pos="720"/>
              <w:tab w:val="right" w:pos="9359" w:leader="dot"/>
            </w:tabs>
            <w:rPr/>
          </w:pPr>
          <w:hyperlink w:anchor="__RefHeading___Toc2424_3011997666">
            <w:r>
              <w:rPr>
                <w:webHidden/>
                <w:rStyle w:val="IndexLink"/>
              </w:rPr>
              <w:t>7.4 Responsibility Matrix</w:t>
              <w:tab/>
              <w:t>7</w:t>
            </w:r>
          </w:hyperlink>
        </w:p>
        <w:p>
          <w:pPr>
            <w:pStyle w:val="TOC2"/>
            <w:tabs>
              <w:tab w:val="clear" w:pos="720"/>
              <w:tab w:val="right" w:pos="9359" w:leader="dot"/>
            </w:tabs>
            <w:rPr/>
          </w:pPr>
          <w:hyperlink w:anchor="__RefHeading___Toc2426_3011997666">
            <w:r>
              <w:rPr>
                <w:webHidden/>
                <w:rStyle w:val="IndexLink"/>
              </w:rPr>
              <w:t>8. Test Entry Criteria</w:t>
              <w:tab/>
              <w:t>8</w:t>
            </w:r>
          </w:hyperlink>
        </w:p>
        <w:p>
          <w:pPr>
            <w:pStyle w:val="TOC2"/>
            <w:tabs>
              <w:tab w:val="clear" w:pos="720"/>
              <w:tab w:val="right" w:pos="9359" w:leader="dot"/>
            </w:tabs>
            <w:rPr/>
          </w:pPr>
          <w:hyperlink w:anchor="__RefHeading___Toc2428_3011997666">
            <w:r>
              <w:rPr>
                <w:webHidden/>
                <w:rStyle w:val="IndexLink"/>
              </w:rPr>
              <w:t>9. Test Execution</w:t>
              <w:tab/>
              <w:t>8</w:t>
            </w:r>
          </w:hyperlink>
        </w:p>
        <w:p>
          <w:pPr>
            <w:pStyle w:val="TOC2"/>
            <w:tabs>
              <w:tab w:val="clear" w:pos="720"/>
              <w:tab w:val="right" w:pos="9359" w:leader="dot"/>
            </w:tabs>
            <w:rPr/>
          </w:pPr>
          <w:hyperlink w:anchor="__RefHeading___Toc2430_3011997666">
            <w:r>
              <w:rPr>
                <w:webHidden/>
                <w:rStyle w:val="IndexLink"/>
              </w:rPr>
              <w:t>10. Validation Model</w:t>
              <w:tab/>
              <w:t>9</w:t>
            </w:r>
          </w:hyperlink>
        </w:p>
        <w:p>
          <w:pPr>
            <w:pStyle w:val="TOC3"/>
            <w:tabs>
              <w:tab w:val="clear" w:pos="720"/>
              <w:tab w:val="right" w:pos="9359" w:leader="dot"/>
            </w:tabs>
            <w:rPr/>
          </w:pPr>
          <w:hyperlink w:anchor="__RefHeading___Toc2432_3011997666">
            <w:r>
              <w:rPr>
                <w:webHidden/>
                <w:rStyle w:val="IndexLink"/>
              </w:rPr>
              <w:t>10.1 100% migration accounting</w:t>
              <w:tab/>
              <w:t>9</w:t>
            </w:r>
          </w:hyperlink>
        </w:p>
        <w:p>
          <w:pPr>
            <w:pStyle w:val="TOC3"/>
            <w:tabs>
              <w:tab w:val="clear" w:pos="720"/>
              <w:tab w:val="right" w:pos="9359" w:leader="dot"/>
            </w:tabs>
            <w:rPr/>
          </w:pPr>
          <w:hyperlink w:anchor="__RefHeading___Toc2434_3011997666">
            <w:r>
              <w:rPr>
                <w:webHidden/>
                <w:rStyle w:val="IndexLink"/>
              </w:rPr>
              <w:t xml:space="preserve"> </w:t>
            </w:r>
            <w:r>
              <w:rPr>
                <w:rStyle w:val="IndexLink"/>
              </w:rPr>
              <w:t>10.2 Deep risk-based validation</w:t>
              <w:tab/>
              <w:t>9</w:t>
            </w:r>
          </w:hyperlink>
        </w:p>
        <w:p>
          <w:pPr>
            <w:pStyle w:val="TOC3"/>
            <w:tabs>
              <w:tab w:val="clear" w:pos="720"/>
              <w:tab w:val="right" w:pos="9359" w:leader="dot"/>
            </w:tabs>
            <w:rPr/>
          </w:pPr>
          <w:hyperlink w:anchor="__RefHeading___Toc2436_3011997666">
            <w:r>
              <w:rPr>
                <w:webHidden/>
                <w:rStyle w:val="IndexLink"/>
              </w:rPr>
              <w:t>10.3 Measurable Success Criteria and Test Metrics</w:t>
              <w:tab/>
              <w:t>9</w:t>
            </w:r>
          </w:hyperlink>
        </w:p>
        <w:p>
          <w:pPr>
            <w:pStyle w:val="TOC2"/>
            <w:tabs>
              <w:tab w:val="clear" w:pos="720"/>
              <w:tab w:val="right" w:pos="9359" w:leader="dot"/>
            </w:tabs>
            <w:rPr/>
          </w:pPr>
          <w:hyperlink w:anchor="__RefHeading___Toc2438_3011997666">
            <w:r>
              <w:rPr>
                <w:webHidden/>
                <w:rStyle w:val="IndexLink"/>
              </w:rPr>
              <w:t>11. HS Developer Functional Test</w:t>
              <w:tab/>
              <w:t>10</w:t>
            </w:r>
          </w:hyperlink>
        </w:p>
        <w:p>
          <w:pPr>
            <w:pStyle w:val="TOC2"/>
            <w:tabs>
              <w:tab w:val="clear" w:pos="720"/>
              <w:tab w:val="right" w:pos="9359" w:leader="dot"/>
            </w:tabs>
            <w:rPr/>
          </w:pPr>
          <w:hyperlink w:anchor="__RefHeading___Toc2440_3011997666">
            <w:r>
              <w:rPr>
                <w:webHidden/>
                <w:rStyle w:val="IndexLink"/>
              </w:rPr>
              <w:t>12. Logging and Evidence</w:t>
              <w:tab/>
              <w:t>11</w:t>
            </w:r>
          </w:hyperlink>
        </w:p>
        <w:p>
          <w:pPr>
            <w:pStyle w:val="TOC2"/>
            <w:tabs>
              <w:tab w:val="clear" w:pos="720"/>
              <w:tab w:val="right" w:pos="9359" w:leader="dot"/>
            </w:tabs>
            <w:rPr/>
          </w:pPr>
          <w:hyperlink w:anchor="__RefHeading___Toc2442_3011997666">
            <w:r>
              <w:rPr>
                <w:webHidden/>
                <w:rStyle w:val="IndexLink"/>
              </w:rPr>
              <w:t>13. Defect Management and Retest</w:t>
              <w:tab/>
              <w:t>11</w:t>
            </w:r>
          </w:hyperlink>
        </w:p>
        <w:p>
          <w:pPr>
            <w:pStyle w:val="TOC2"/>
            <w:tabs>
              <w:tab w:val="clear" w:pos="720"/>
              <w:tab w:val="right" w:pos="9359" w:leader="dot"/>
            </w:tabs>
            <w:rPr/>
          </w:pPr>
          <w:hyperlink w:anchor="__RefHeading___Toc2444_3011997666">
            <w:r>
              <w:rPr>
                <w:webHidden/>
                <w:rStyle w:val="IndexLink"/>
              </w:rPr>
              <w:t>14. Known Failure Scenarios to Exercise/Observe</w:t>
              <w:tab/>
              <w:t>12</w:t>
            </w:r>
          </w:hyperlink>
        </w:p>
        <w:p>
          <w:pPr>
            <w:pStyle w:val="TOC3"/>
            <w:tabs>
              <w:tab w:val="clear" w:pos="720"/>
              <w:tab w:val="right" w:pos="9359" w:leader="dot"/>
            </w:tabs>
            <w:rPr/>
          </w:pPr>
          <w:hyperlink w:anchor="__RefHeading___Toc2446_3011997666">
            <w:r>
              <w:rPr>
                <w:webHidden/>
                <w:rStyle w:val="IndexLink"/>
              </w:rPr>
              <w:t>14.1 Test Risks and Mitigations</w:t>
              <w:tab/>
              <w:t>12</w:t>
            </w:r>
          </w:hyperlink>
        </w:p>
        <w:p>
          <w:pPr>
            <w:pStyle w:val="TOC2"/>
            <w:tabs>
              <w:tab w:val="clear" w:pos="720"/>
              <w:tab w:val="right" w:pos="9359" w:leader="dot"/>
            </w:tabs>
            <w:rPr/>
          </w:pPr>
          <w:hyperlink w:anchor="__RefHeading___Toc2448_3011997666">
            <w:r>
              <w:rPr>
                <w:webHidden/>
                <w:rStyle w:val="IndexLink"/>
              </w:rPr>
              <w:t>15. Full Test Timeline</w:t>
              <w:tab/>
              <w:t>13</w:t>
            </w:r>
          </w:hyperlink>
        </w:p>
        <w:p>
          <w:pPr>
            <w:pStyle w:val="TOC2"/>
            <w:tabs>
              <w:tab w:val="clear" w:pos="720"/>
              <w:tab w:val="right" w:pos="9359" w:leader="dot"/>
            </w:tabs>
            <w:rPr/>
          </w:pPr>
          <w:hyperlink w:anchor="__RefHeading___Toc2450_3011997666">
            <w:r>
              <w:rPr>
                <w:webHidden/>
                <w:rStyle w:val="IndexLink"/>
              </w:rPr>
              <w:t>16. Exit Gate</w:t>
              <w:tab/>
              <w:t>13</w:t>
            </w:r>
          </w:hyperlink>
        </w:p>
        <w:p>
          <w:pPr>
            <w:pStyle w:val="TOC3"/>
            <w:tabs>
              <w:tab w:val="clear" w:pos="720"/>
              <w:tab w:val="right" w:pos="9359" w:leader="dot"/>
            </w:tabs>
            <w:rPr/>
          </w:pPr>
          <w:hyperlink w:anchor="__RefHeading___Toc2452_3011997666">
            <w:r>
              <w:rPr>
                <w:webHidden/>
                <w:rStyle w:val="IndexLink"/>
              </w:rPr>
              <w:t>16.1 Exit Gate criteria</w:t>
              <w:tab/>
              <w:t>13</w:t>
            </w:r>
          </w:hyperlink>
        </w:p>
        <w:p>
          <w:pPr>
            <w:pStyle w:val="TOC3"/>
            <w:tabs>
              <w:tab w:val="clear" w:pos="720"/>
              <w:tab w:val="right" w:pos="9359" w:leader="dot"/>
            </w:tabs>
            <w:rPr/>
          </w:pPr>
          <w:hyperlink w:anchor="__RefHeading___Toc2454_3011997666">
            <w:r>
              <w:rPr>
                <w:webHidden/>
                <w:rStyle w:val="IndexLink"/>
              </w:rPr>
              <w:t>16.2 Exit Gate evaluation</w:t>
              <w:tab/>
              <w:t>14</w:t>
            </w:r>
          </w:hyperlink>
        </w:p>
        <w:p>
          <w:pPr>
            <w:pStyle w:val="TOC2"/>
            <w:tabs>
              <w:tab w:val="clear" w:pos="720"/>
              <w:tab w:val="right" w:pos="9359" w:leader="dot"/>
            </w:tabs>
            <w:rPr/>
          </w:pPr>
          <w:hyperlink w:anchor="__RefHeading___Toc2456_3011997666">
            <w:r>
              <w:rPr>
                <w:webHidden/>
                <w:rStyle w:val="IndexLink"/>
              </w:rPr>
              <w:t>17. Full Migration Test Deliverables</w:t>
              <w:tab/>
              <w:t>14</w:t>
            </w:r>
          </w:hyperlink>
        </w:p>
        <w:p>
          <w:pPr>
            <w:pStyle w:val="TOC2"/>
            <w:tabs>
              <w:tab w:val="clear" w:pos="720"/>
              <w:tab w:val="right" w:pos="9359" w:leader="dot"/>
            </w:tabs>
            <w:rPr/>
          </w:pPr>
          <w:hyperlink w:anchor="__RefHeading___Toc2458_3011997666">
            <w:r>
              <w:rPr>
                <w:webHidden/>
                <w:rStyle w:val="IndexLink"/>
              </w:rPr>
              <w:t>18. Critical Path for the Test</w:t>
              <w:tab/>
              <w:t>14</w:t>
            </w:r>
          </w:hyperlink>
          <w:r>
            <w:rPr>
              <w:rStyle w:val="IndexLink"/>
            </w:rPr>
            <w:fldChar w:fldCharType="end"/>
          </w:r>
        </w:p>
      </w:sdtContent>
    </w:sdt>
    <w:p>
      <w:pPr>
        <w:pStyle w:val="Normal"/>
        <w:rPr/>
      </w:pPr>
      <w:r>
        <w:rPr/>
      </w:r>
    </w:p>
    <w:p>
      <w:pPr>
        <w:pStyle w:val="Heading2"/>
        <w:numPr>
          <w:ilvl w:val="0"/>
          <w:numId w:val="13"/>
        </w:numPr>
        <w:ind w:hanging="0" w:left="180"/>
        <w:rPr/>
      </w:pPr>
      <w:bookmarkStart w:id="0" w:name="__RefHeading___Toc2384_3011997666"/>
      <w:bookmarkStart w:id="1" w:name="_Toc238535910"/>
      <w:bookmarkEnd w:id="0"/>
      <w:r>
        <w:rPr/>
        <w:t>Overview</w:t>
      </w:r>
      <w:bookmarkEnd w:id="1"/>
    </w:p>
    <w:p>
      <w:pPr>
        <w:pStyle w:val="Normal"/>
        <w:rPr>
          <w:rFonts w:eastAsia="Aptos" w:cs="Aptos"/>
          <w:szCs w:val="20"/>
        </w:rPr>
      </w:pPr>
      <w:r>
        <w:rPr>
          <w:rFonts w:eastAsia="Aptos" w:cs="Aptos"/>
          <w:szCs w:val="20"/>
        </w:rPr>
        <w:t xml:space="preserve">This </w:t>
      </w:r>
      <w:r>
        <w:rPr>
          <w:rFonts w:eastAsia="Aptos" w:cs="Aptos"/>
          <w:b/>
          <w:bCs/>
          <w:szCs w:val="20"/>
        </w:rPr>
        <w:t>Test Strategy Plan</w:t>
      </w:r>
      <w:r>
        <w:rPr>
          <w:rFonts w:eastAsia="Aptos" w:cs="Aptos"/>
          <w:szCs w:val="20"/>
        </w:rPr>
        <w:t xml:space="preserve"> describes quality testing activities performed by ELEKS and the HS/HCSC users on the end-to-end Test Full Migration.  Its validation is mandatory before the final production migration. </w:t>
      </w:r>
    </w:p>
    <w:p>
      <w:pPr>
        <w:pStyle w:val="Normal"/>
        <w:rPr/>
      </w:pPr>
      <w:r>
        <w:rPr/>
      </w:r>
    </w:p>
    <w:p>
      <w:pPr>
        <w:pStyle w:val="Normal"/>
        <w:rPr>
          <w:rFonts w:eastAsia="Aptos" w:cs="Aptos"/>
          <w:szCs w:val="20"/>
        </w:rPr>
      </w:pPr>
      <w:r>
        <w:rPr>
          <w:rFonts w:eastAsia="Aptos" w:cs="Aptos"/>
          <w:szCs w:val="20"/>
        </w:rPr>
        <w:t>The Test Full Migration migrates the HealthSpring (HS) GitHub Production organization into a temporary organization in HCSC GitHub Enterprise Production.</w:t>
      </w:r>
    </w:p>
    <w:p>
      <w:pPr>
        <w:pStyle w:val="Normal"/>
        <w:rPr/>
      </w:pPr>
      <w:r>
        <w:rPr/>
      </w:r>
    </w:p>
    <w:p>
      <w:pPr>
        <w:pStyle w:val="Normal"/>
        <w:rPr>
          <w:rFonts w:eastAsia="Aptos" w:cs="Aptos"/>
          <w:szCs w:val="20"/>
        </w:rPr>
      </w:pPr>
      <w:r>
        <w:rPr>
          <w:rFonts w:eastAsia="Aptos" w:cs="Aptos"/>
          <w:szCs w:val="20"/>
        </w:rPr>
        <w:t>The test is a full-scale production simulation: it migrates the complete HS repository list into a temporary HCSC test organization, transferring the migration-relevant HS organization and repository configuration, while applying HCSC-specific target controls where the final operating model intentionally differs from HS.</w:t>
      </w:r>
    </w:p>
    <w:p>
      <w:pPr>
        <w:pStyle w:val="Normal"/>
        <w:rPr/>
      </w:pPr>
      <w:r>
        <w:rPr/>
      </w:r>
    </w:p>
    <w:p>
      <w:pPr>
        <w:pStyle w:val="Normal"/>
        <w:rPr/>
      </w:pPr>
      <w:r>
        <w:rPr/>
        <w:t>The purpose of this activity is to validate the outcome of the full migration process before final cutover, including migration completeness, target access, runner/network readiness, representative workflow behavior, evidence, defects and operational readiness.</w:t>
      </w:r>
    </w:p>
    <w:p>
      <w:pPr>
        <w:pStyle w:val="Heading2"/>
        <w:numPr>
          <w:ilvl w:val="0"/>
          <w:numId w:val="13"/>
        </w:numPr>
        <w:ind w:hanging="0" w:left="180"/>
        <w:rPr/>
      </w:pPr>
      <w:bookmarkStart w:id="2" w:name="__RefHeading___Toc2386_3011997666"/>
      <w:bookmarkStart w:id="3" w:name="_Toc238535911"/>
      <w:bookmarkEnd w:id="2"/>
      <w:r>
        <w:rPr/>
        <w:t>Overall Quality Test Vision</w:t>
      </w:r>
      <w:bookmarkEnd w:id="3"/>
    </w:p>
    <w:p>
      <w:pPr>
        <w:pStyle w:val="Normal"/>
        <w:rPr/>
      </w:pPr>
      <w:r>
        <w:rPr/>
        <w:t>The strategy validates whether the migrated HS GitHub organization is ready to operate in HCSC. It focuses on observable test results, evidence, defects and readiness decisions rather than the detailed technical implementation of the migration.</w:t>
      </w:r>
    </w:p>
    <w:p>
      <w:pPr>
        <w:pStyle w:val="Normal"/>
        <w:rPr/>
      </w:pPr>
      <w:r>
        <w:rPr/>
        <w:t>Detailed GEI execution, custom-script procedures, runner provisioning and network configuration are maintained in the GitHub Migration Technical Plan and Migration Runbook. This document defines the conditions and validations used to determine whether those activities produced an acceptable result.</w:t>
      </w:r>
    </w:p>
    <w:p>
      <w:pPr>
        <w:pStyle w:val="Heading2"/>
        <w:numPr>
          <w:ilvl w:val="0"/>
          <w:numId w:val="13"/>
        </w:numPr>
        <w:ind w:hanging="0" w:left="180"/>
        <w:rPr/>
      </w:pPr>
      <w:bookmarkStart w:id="4" w:name="__RefHeading___Toc2388_3011997666"/>
      <w:bookmarkStart w:id="5" w:name="_Toc238535912"/>
      <w:bookmarkEnd w:id="4"/>
      <w:r>
        <w:rPr/>
        <w:t>Test Objectives</w:t>
      </w:r>
      <w:bookmarkEnd w:id="5"/>
    </w:p>
    <w:p>
      <w:pPr>
        <w:pStyle w:val="ListParagraph"/>
        <w:numPr>
          <w:ilvl w:val="0"/>
          <w:numId w:val="4"/>
        </w:numPr>
        <w:rPr>
          <w:rFonts w:eastAsia="Aptos"/>
        </w:rPr>
      </w:pPr>
      <w:r>
        <w:rPr>
          <w:rFonts w:eastAsia="Aptos"/>
        </w:rPr>
        <w:t>Migrate 100% of the in-scope HS repository inventory to the HCSC test organization.</w:t>
      </w:r>
    </w:p>
    <w:p>
      <w:pPr>
        <w:pStyle w:val="ListParagraph"/>
        <w:numPr>
          <w:ilvl w:val="0"/>
          <w:numId w:val="4"/>
        </w:numPr>
        <w:rPr>
          <w:rFonts w:eastAsia="Aptos"/>
        </w:rPr>
      </w:pPr>
      <w:r>
        <w:rPr>
          <w:rFonts w:eastAsia="Aptos"/>
        </w:rPr>
        <w:t>Exercise the same GEI workflow and migration controls intended for the final migration.</w:t>
      </w:r>
    </w:p>
    <w:p>
      <w:pPr>
        <w:pStyle w:val="ListParagraph"/>
        <w:numPr>
          <w:ilvl w:val="0"/>
          <w:numId w:val="4"/>
        </w:numPr>
        <w:rPr>
          <w:rFonts w:eastAsia="Aptos"/>
        </w:rPr>
      </w:pPr>
      <w:r>
        <w:rPr>
          <w:rFonts w:eastAsia="Aptos"/>
        </w:rPr>
        <w:t>Exercise all applicable custom migration scripts and manual post-migration procedures.</w:t>
      </w:r>
    </w:p>
    <w:p>
      <w:pPr>
        <w:pStyle w:val="ListParagraph"/>
        <w:numPr>
          <w:ilvl w:val="0"/>
          <w:numId w:val="4"/>
        </w:numPr>
        <w:rPr>
          <w:rFonts w:eastAsia="Aptos"/>
        </w:rPr>
      </w:pPr>
      <w:r>
        <w:rPr>
          <w:rFonts w:eastAsia="Aptos"/>
        </w:rPr>
        <w:t>Recreate or emulate migration-relevant HS organization/repository configuration in the HCSC test organization.</w:t>
      </w:r>
    </w:p>
    <w:p>
      <w:pPr>
        <w:pStyle w:val="ListParagraph"/>
        <w:numPr>
          <w:ilvl w:val="0"/>
          <w:numId w:val="4"/>
        </w:numPr>
        <w:rPr>
          <w:rFonts w:eastAsia="Aptos"/>
        </w:rPr>
      </w:pPr>
      <w:r>
        <w:rPr>
          <w:rFonts w:eastAsia="Aptos"/>
        </w:rPr>
        <w:t>Validate the HCSC-specific IAM and authorization model.</w:t>
      </w:r>
    </w:p>
    <w:p>
      <w:pPr>
        <w:pStyle w:val="ListParagraph"/>
        <w:numPr>
          <w:ilvl w:val="0"/>
          <w:numId w:val="4"/>
        </w:numPr>
        <w:rPr>
          <w:rFonts w:eastAsia="Aptos"/>
        </w:rPr>
      </w:pPr>
      <w:r>
        <w:rPr>
          <w:rFonts w:eastAsia="Aptos"/>
        </w:rPr>
        <w:t>Validate the designated existing unused HS Azure VNet for GitHub private runners.</w:t>
      </w:r>
    </w:p>
    <w:p>
      <w:pPr>
        <w:pStyle w:val="ListParagraph"/>
        <w:numPr>
          <w:ilvl w:val="0"/>
          <w:numId w:val="4"/>
        </w:numPr>
        <w:rPr>
          <w:rFonts w:eastAsia="Aptos"/>
        </w:rPr>
      </w:pPr>
      <w:r>
        <w:rPr>
          <w:rFonts w:eastAsia="Aptos"/>
        </w:rPr>
        <w:t>Validate two cloned self-hosted runner VMs (production and development patterns) without interrupting the existing HS production/dev runners during test.</w:t>
      </w:r>
    </w:p>
    <w:p>
      <w:pPr>
        <w:pStyle w:val="ListParagraph"/>
        <w:numPr>
          <w:ilvl w:val="0"/>
          <w:numId w:val="4"/>
        </w:numPr>
        <w:rPr>
          <w:rFonts w:eastAsia="Aptos"/>
        </w:rPr>
      </w:pPr>
      <w:r>
        <w:rPr>
          <w:rFonts w:eastAsia="Aptos"/>
        </w:rPr>
        <w:t>Gather and validate GEI, GitHub Actions, custom-script, API, and runner logs.</w:t>
      </w:r>
    </w:p>
    <w:p>
      <w:pPr>
        <w:pStyle w:val="ListParagraph"/>
        <w:numPr>
          <w:ilvl w:val="0"/>
          <w:numId w:val="4"/>
        </w:numPr>
        <w:rPr>
          <w:rFonts w:eastAsia="Aptos"/>
        </w:rPr>
      </w:pPr>
      <w:r>
        <w:rPr>
          <w:rFonts w:eastAsia="Aptos"/>
        </w:rPr>
        <w:t>Identify migration defects, permission gaps, API/rate-limit behavior, networking/security issues, configuration gaps, and manual-process weaknesses.</w:t>
      </w:r>
    </w:p>
    <w:p>
      <w:pPr>
        <w:pStyle w:val="ListParagraph"/>
        <w:numPr>
          <w:ilvl w:val="0"/>
          <w:numId w:val="4"/>
        </w:numPr>
        <w:rPr>
          <w:rFonts w:eastAsia="Aptos"/>
        </w:rPr>
      </w:pPr>
      <w:r>
        <w:rPr>
          <w:rFonts w:eastAsia="Aptos"/>
        </w:rPr>
        <w:t>Allow a controlled group of HS developers to perform functional testing against their actual migrated repositories.</w:t>
      </w:r>
    </w:p>
    <w:p>
      <w:pPr>
        <w:pStyle w:val="ListParagraph"/>
        <w:numPr>
          <w:ilvl w:val="0"/>
          <w:numId w:val="4"/>
        </w:numPr>
        <w:rPr>
          <w:rFonts w:eastAsia="Aptos"/>
        </w:rPr>
      </w:pPr>
      <w:r>
        <w:rPr>
          <w:rFonts w:eastAsia="Aptos"/>
        </w:rPr>
        <w:t>Measure execution duration and identify critical-path constraints for the production cutover.</w:t>
      </w:r>
    </w:p>
    <w:p>
      <w:pPr>
        <w:pStyle w:val="ListParagraph"/>
        <w:numPr>
          <w:ilvl w:val="0"/>
          <w:numId w:val="4"/>
        </w:numPr>
        <w:rPr>
          <w:rFonts w:eastAsia="Aptos"/>
        </w:rPr>
      </w:pPr>
      <w:r>
        <w:rPr>
          <w:rFonts w:eastAsia="Aptos"/>
        </w:rPr>
        <w:t>Update scripts, configuration, troubleshooting guidance, and the Migration Runbook based on test findings.</w:t>
      </w:r>
    </w:p>
    <w:p>
      <w:pPr>
        <w:pStyle w:val="ListParagraph"/>
        <w:numPr>
          <w:ilvl w:val="0"/>
          <w:numId w:val="4"/>
        </w:numPr>
        <w:rPr>
          <w:rFonts w:eastAsia="Aptos"/>
        </w:rPr>
      </w:pPr>
      <w:r>
        <w:rPr>
          <w:rFonts w:eastAsia="Aptos"/>
        </w:rPr>
        <w:t>Evaluate Test Exit gate.</w:t>
      </w:r>
    </w:p>
    <w:p>
      <w:pPr>
        <w:pStyle w:val="Heading2"/>
        <w:numPr>
          <w:ilvl w:val="0"/>
          <w:numId w:val="13"/>
        </w:numPr>
        <w:ind w:hanging="0" w:left="180"/>
        <w:rPr/>
      </w:pPr>
      <w:bookmarkStart w:id="6" w:name="__RefHeading___Toc2390_3011997666"/>
      <w:bookmarkEnd w:id="6"/>
      <w:r>
        <w:rPr/>
        <w:t>Scope of the Full Migration Test</w:t>
      </w:r>
    </w:p>
    <w:p>
      <w:pPr>
        <w:pStyle w:val="Heading3"/>
        <w:rPr/>
      </w:pPr>
      <w:bookmarkStart w:id="7" w:name="__RefHeading___Toc2392_3011997666"/>
      <w:bookmarkStart w:id="8" w:name="_Toc238535914"/>
      <w:bookmarkEnd w:id="7"/>
      <w:r>
        <w:rPr/>
        <w:t>4.1 Full repository inventory</w:t>
      </w:r>
      <w:bookmarkEnd w:id="8"/>
    </w:p>
    <w:p>
      <w:pPr>
        <w:pStyle w:val="ListParagraph"/>
        <w:numPr>
          <w:ilvl w:val="0"/>
          <w:numId w:val="3"/>
        </w:numPr>
        <w:rPr>
          <w:rFonts w:eastAsia="Aptos"/>
        </w:rPr>
      </w:pPr>
      <w:r>
        <w:rPr>
          <w:rFonts w:eastAsia="Aptos"/>
        </w:rPr>
        <w:t>Repository existence, visibility, archived state and default branch.</w:t>
      </w:r>
    </w:p>
    <w:p>
      <w:pPr>
        <w:pStyle w:val="ListParagraph"/>
        <w:numPr>
          <w:ilvl w:val="0"/>
          <w:numId w:val="3"/>
        </w:numPr>
        <w:rPr>
          <w:rFonts w:eastAsia="Aptos"/>
        </w:rPr>
      </w:pPr>
      <w:r>
        <w:rPr>
          <w:rFonts w:eastAsia="Aptos"/>
        </w:rPr>
        <w:t>Git history, branches, tags, releases, pull requests and issues as supported by GEI.</w:t>
      </w:r>
    </w:p>
    <w:p>
      <w:pPr>
        <w:pStyle w:val="ListParagraph"/>
        <w:numPr>
          <w:ilvl w:val="0"/>
          <w:numId w:val="3"/>
        </w:numPr>
        <w:rPr>
          <w:rFonts w:eastAsia="Aptos"/>
        </w:rPr>
      </w:pPr>
      <w:r>
        <w:rPr>
          <w:rFonts w:eastAsia="Aptos"/>
        </w:rPr>
        <w:t>GitHub Actions workflows and reusable workflow references.</w:t>
      </w:r>
    </w:p>
    <w:p>
      <w:pPr>
        <w:pStyle w:val="ListParagraph"/>
        <w:numPr>
          <w:ilvl w:val="0"/>
          <w:numId w:val="3"/>
        </w:numPr>
        <w:rPr>
          <w:rFonts w:eastAsia="Aptos"/>
        </w:rPr>
      </w:pPr>
      <w:r>
        <w:rPr>
          <w:rFonts w:eastAsia="Aptos"/>
        </w:rPr>
        <w:t>Teams and repository access relationships.</w:t>
      </w:r>
    </w:p>
    <w:p>
      <w:pPr>
        <w:pStyle w:val="ListParagraph"/>
        <w:numPr>
          <w:ilvl w:val="0"/>
          <w:numId w:val="3"/>
        </w:numPr>
        <w:rPr>
          <w:rFonts w:eastAsia="Aptos"/>
        </w:rPr>
      </w:pPr>
      <w:r>
        <w:rPr>
          <w:rFonts w:eastAsia="Aptos"/>
        </w:rPr>
        <w:t>Rulesets and classic branch protection where they are applicable.</w:t>
      </w:r>
    </w:p>
    <w:p>
      <w:pPr>
        <w:pStyle w:val="ListParagraph"/>
        <w:numPr>
          <w:ilvl w:val="0"/>
          <w:numId w:val="3"/>
        </w:numPr>
        <w:rPr>
          <w:rFonts w:eastAsia="Aptos"/>
        </w:rPr>
      </w:pPr>
      <w:r>
        <w:rPr>
          <w:rFonts w:eastAsia="Aptos"/>
        </w:rPr>
        <w:t>Actions variables and custom properties.</w:t>
      </w:r>
    </w:p>
    <w:p>
      <w:pPr>
        <w:pStyle w:val="ListParagraph"/>
        <w:numPr>
          <w:ilvl w:val="0"/>
          <w:numId w:val="3"/>
        </w:numPr>
        <w:rPr>
          <w:rFonts w:eastAsia="Aptos"/>
        </w:rPr>
      </w:pPr>
      <w:r>
        <w:rPr>
          <w:rFonts w:eastAsia="Aptos"/>
        </w:rPr>
        <w:t>Environments and related controls.</w:t>
      </w:r>
    </w:p>
    <w:p>
      <w:pPr>
        <w:pStyle w:val="ListParagraph"/>
        <w:numPr>
          <w:ilvl w:val="0"/>
          <w:numId w:val="3"/>
        </w:numPr>
        <w:rPr>
          <w:rFonts w:eastAsia="Aptos"/>
        </w:rPr>
      </w:pPr>
      <w:r>
        <w:rPr>
          <w:rFonts w:eastAsia="Aptos"/>
        </w:rPr>
        <w:t>Secrets names/scopes and restoration process.</w:t>
      </w:r>
    </w:p>
    <w:p>
      <w:pPr>
        <w:pStyle w:val="ListParagraph"/>
        <w:numPr>
          <w:ilvl w:val="0"/>
          <w:numId w:val="3"/>
        </w:numPr>
        <w:rPr>
          <w:rFonts w:eastAsia="Aptos"/>
        </w:rPr>
      </w:pPr>
      <w:r>
        <w:rPr>
          <w:rFonts w:eastAsia="Aptos"/>
        </w:rPr>
        <w:t>Packages and package consumers/producers.</w:t>
      </w:r>
    </w:p>
    <w:p>
      <w:pPr>
        <w:pStyle w:val="ListParagraph"/>
        <w:numPr>
          <w:ilvl w:val="0"/>
          <w:numId w:val="3"/>
        </w:numPr>
        <w:rPr>
          <w:rFonts w:eastAsia="Aptos"/>
        </w:rPr>
      </w:pPr>
      <w:r>
        <w:rPr>
          <w:rFonts w:eastAsia="Aptos"/>
        </w:rPr>
        <w:t>Webhooks, deploy keys, GitHub Apps and external integrations.</w:t>
      </w:r>
    </w:p>
    <w:p>
      <w:pPr>
        <w:pStyle w:val="ListParagraph"/>
        <w:numPr>
          <w:ilvl w:val="0"/>
          <w:numId w:val="3"/>
        </w:numPr>
        <w:rPr>
          <w:rFonts w:eastAsia="Aptos"/>
        </w:rPr>
      </w:pPr>
      <w:r>
        <w:rPr>
          <w:rFonts w:eastAsia="Aptos"/>
        </w:rPr>
        <w:t>Runner groups, labels and workflow-to-runner dependencies.</w:t>
      </w:r>
    </w:p>
    <w:p>
      <w:pPr>
        <w:pStyle w:val="ListParagraph"/>
        <w:numPr>
          <w:ilvl w:val="0"/>
          <w:numId w:val="3"/>
        </w:numPr>
        <w:rPr>
          <w:rFonts w:eastAsia="Aptos"/>
        </w:rPr>
      </w:pPr>
      <w:r>
        <w:rPr>
          <w:rFonts w:eastAsia="Aptos"/>
        </w:rPr>
        <w:t>OIDC/external workload identity dependencies requiring target-side remediation.</w:t>
      </w:r>
    </w:p>
    <w:p>
      <w:pPr>
        <w:pStyle w:val="Heading3"/>
        <w:rPr/>
      </w:pPr>
      <w:bookmarkStart w:id="9" w:name="__RefHeading___Toc2394_3011997666"/>
      <w:bookmarkStart w:id="10" w:name="_Toc238535915"/>
      <w:bookmarkEnd w:id="9"/>
      <w:r>
        <w:rPr/>
        <w:t>4.2 Organization configuration emulation</w:t>
      </w:r>
      <w:bookmarkEnd w:id="10"/>
    </w:p>
    <w:p>
      <w:pPr>
        <w:pStyle w:val="Normal"/>
        <w:rPr/>
      </w:pPr>
      <w:r>
        <w:rPr/>
        <w:t>The test organization should represent the migration-relevant HS configuration closely enough to validate the final HCSC operating model. The detailed procedures used to migrate or recreate these items are defined in the GitHub Migration Technical Plan and Migration Runbook.</w:t>
      </w:r>
    </w:p>
    <w:p>
      <w:pPr>
        <w:pStyle w:val="Normal"/>
        <w:rPr/>
      </w:pPr>
      <w:r>
        <w:rPr/>
        <w:t>Validate expected repository and organization configuration after migration.</w:t>
      </w:r>
    </w:p>
    <w:p>
      <w:pPr>
        <w:pStyle w:val="Normal"/>
        <w:rPr/>
      </w:pPr>
      <w:r>
        <w:rPr/>
        <w:t>Validate teams/access against the HCSC target authorization model.</w:t>
      </w:r>
    </w:p>
    <w:p>
      <w:pPr>
        <w:pStyle w:val="Normal"/>
        <w:rPr/>
      </w:pPr>
      <w:r>
        <w:rPr/>
        <w:t>Validate secrets, packages, environments and required repository controls used by selected workloads.</w:t>
      </w:r>
    </w:p>
    <w:p>
      <w:pPr>
        <w:pStyle w:val="Normal"/>
        <w:rPr/>
      </w:pPr>
      <w:r>
        <w:rPr/>
        <w:t>Validate required GitHub Apps, webhooks, deploy keys and external authentication/integration dependencies.</w:t>
      </w:r>
    </w:p>
    <w:p>
      <w:pPr>
        <w:pStyle w:val="Normal"/>
        <w:rPr/>
      </w:pPr>
      <w:r>
        <w:rPr/>
        <w:t>Record unsupported, partial or manual items as test exceptions with an owner and production action.</w:t>
      </w:r>
    </w:p>
    <w:p>
      <w:pPr>
        <w:pStyle w:val="Heading3"/>
        <w:rPr/>
      </w:pPr>
      <w:bookmarkStart w:id="11" w:name="__RefHeading___Toc2396_3011997666"/>
      <w:bookmarkStart w:id="12" w:name="_Toc238535916"/>
      <w:bookmarkEnd w:id="11"/>
      <w:r>
        <w:rPr/>
        <w:t>4.3 In Scope</w:t>
      </w:r>
      <w:bookmarkEnd w:id="12"/>
    </w:p>
    <w:p>
      <w:pPr>
        <w:pStyle w:val="ListParagraph"/>
        <w:numPr>
          <w:ilvl w:val="0"/>
          <w:numId w:val="15"/>
        </w:numPr>
        <w:rPr/>
      </w:pPr>
      <w:r>
        <w:rPr>
          <w:rFonts w:eastAsia="Aptos"/>
        </w:rPr>
        <w:t>The complete in-scope HS repository inventory and GEI-supported repository data.</w:t>
      </w:r>
    </w:p>
    <w:p>
      <w:pPr>
        <w:pStyle w:val="ListParagraph"/>
        <w:numPr>
          <w:ilvl w:val="0"/>
          <w:numId w:val="15"/>
        </w:numPr>
        <w:rPr/>
      </w:pPr>
      <w:r>
        <w:rPr>
          <w:rFonts w:eastAsia="Aptos"/>
        </w:rPr>
        <w:t>Migration-relevant organization and repository configuration covered by GEI, custom automation, or documented manual remediation.</w:t>
      </w:r>
    </w:p>
    <w:p>
      <w:pPr>
        <w:pStyle w:val="ListParagraph"/>
        <w:numPr>
          <w:ilvl w:val="0"/>
          <w:numId w:val="15"/>
        </w:numPr>
        <w:rPr/>
      </w:pPr>
      <w:r>
        <w:rPr>
          <w:rFonts w:eastAsia="Aptos"/>
        </w:rPr>
        <w:t>HCSC target IAM/access validation for the selected HS developer test group.</w:t>
      </w:r>
    </w:p>
    <w:p>
      <w:pPr>
        <w:pStyle w:val="ListParagraph"/>
        <w:numPr>
          <w:ilvl w:val="0"/>
          <w:numId w:val="15"/>
        </w:numPr>
        <w:rPr/>
      </w:pPr>
      <w:r>
        <w:rPr>
          <w:rFonts w:eastAsia="Aptos"/>
        </w:rPr>
        <w:t>GitHub-hosted/public, Azure private-networked, and cloned self-hosted runner validation required by migrated workflows.</w:t>
      </w:r>
    </w:p>
    <w:p>
      <w:pPr>
        <w:pStyle w:val="ListParagraph"/>
        <w:numPr>
          <w:ilvl w:val="0"/>
          <w:numId w:val="15"/>
        </w:numPr>
        <w:rPr/>
      </w:pPr>
      <w:r>
        <w:rPr>
          <w:rFonts w:eastAsia="Aptos"/>
        </w:rPr>
        <w:t>Secrets, packages, environments, GitHub Apps/webhooks/deploy keys, OIDC/external trust, and other integrations where they are required by the migrated workloads.</w:t>
      </w:r>
    </w:p>
    <w:p>
      <w:pPr>
        <w:pStyle w:val="ListParagraph"/>
        <w:numPr>
          <w:ilvl w:val="0"/>
          <w:numId w:val="15"/>
        </w:numPr>
        <w:rPr/>
      </w:pPr>
      <w:r>
        <w:rPr>
          <w:rFonts w:eastAsia="Aptos"/>
        </w:rPr>
        <w:t>Automated source-to-target validation, log/evidence review, defect management, and HS developer functional/UAT testing.</w:t>
      </w:r>
    </w:p>
    <w:p>
      <w:pPr>
        <w:pStyle w:val="Heading3"/>
        <w:rPr/>
      </w:pPr>
      <w:bookmarkStart w:id="13" w:name="__RefHeading___Toc2398_3011997666"/>
      <w:bookmarkStart w:id="14" w:name="_Toc238535917"/>
      <w:bookmarkEnd w:id="13"/>
      <w:r>
        <w:rPr/>
        <w:t>4.4 Out of Scope</w:t>
      </w:r>
      <w:bookmarkEnd w:id="14"/>
    </w:p>
    <w:p>
      <w:pPr>
        <w:pStyle w:val="ListParagraph"/>
        <w:numPr>
          <w:ilvl w:val="0"/>
          <w:numId w:val="14"/>
        </w:numPr>
        <w:rPr/>
      </w:pPr>
      <w:r>
        <w:rPr>
          <w:rFonts w:eastAsia="Aptos"/>
        </w:rPr>
        <w:t>The final production cutover itself and source archive/decommission activities; this test validates readiness for those activities.</w:t>
      </w:r>
    </w:p>
    <w:p>
      <w:pPr>
        <w:pStyle w:val="ListParagraph"/>
        <w:numPr>
          <w:ilvl w:val="0"/>
          <w:numId w:val="14"/>
        </w:numPr>
        <w:rPr/>
      </w:pPr>
      <w:r>
        <w:rPr>
          <w:rFonts w:eastAsia="Aptos"/>
        </w:rPr>
        <w:t>Exhaustive manual execution of every GitHub Actions workflow in every repository; functional testing focuses on representative and critical workflows selected by HS developers/application owners.</w:t>
      </w:r>
    </w:p>
    <w:p>
      <w:pPr>
        <w:pStyle w:val="ListParagraph"/>
        <w:numPr>
          <w:ilvl w:val="0"/>
          <w:numId w:val="14"/>
        </w:numPr>
        <w:rPr/>
      </w:pPr>
      <w:r>
        <w:rPr>
          <w:rFonts w:eastAsia="Aptos"/>
        </w:rPr>
        <w:t>Migration of the HS IAM/Okta platform itself; HS identity data is used only as a baseline for the HCSC authorization model.</w:t>
      </w:r>
    </w:p>
    <w:p>
      <w:pPr>
        <w:pStyle w:val="ListParagraph"/>
        <w:numPr>
          <w:ilvl w:val="0"/>
          <w:numId w:val="14"/>
        </w:numPr>
        <w:rPr/>
      </w:pPr>
      <w:r>
        <w:rPr>
          <w:rFonts w:eastAsia="Aptos"/>
        </w:rPr>
        <w:t>Changes to non-GitHub application infrastructure beyond the connectivity, authentication, and integration validation required by migrated workflows.</w:t>
      </w:r>
    </w:p>
    <w:p>
      <w:pPr>
        <w:pStyle w:val="ListParagraph"/>
        <w:numPr>
          <w:ilvl w:val="0"/>
          <w:numId w:val="14"/>
        </w:numPr>
        <w:rPr/>
      </w:pPr>
      <w:r>
        <w:rPr>
          <w:rFonts w:eastAsia="Aptos"/>
        </w:rPr>
        <w:t>Performance/load testing that is unrelated to the GitHub migration and runner readiness objectives.</w:t>
      </w:r>
    </w:p>
    <w:p>
      <w:pPr>
        <w:pStyle w:val="Heading2"/>
        <w:numPr>
          <w:ilvl w:val="0"/>
          <w:numId w:val="13"/>
        </w:numPr>
        <w:ind w:hanging="0" w:left="180"/>
        <w:rPr/>
      </w:pPr>
      <w:bookmarkStart w:id="15" w:name="__RefHeading___Toc2400_3011997666"/>
      <w:bookmarkStart w:id="16" w:name="_Toc238535918"/>
      <w:bookmarkEnd w:id="15"/>
      <w:r>
        <w:rPr/>
        <w:t>Test Environment</w:t>
      </w:r>
      <w:bookmarkEnd w:id="16"/>
    </w:p>
    <w:p>
      <w:pPr>
        <w:pStyle w:val="Heading3"/>
        <w:rPr/>
      </w:pPr>
      <w:bookmarkStart w:id="17" w:name="__RefHeading___Toc2402_3011997666"/>
      <w:bookmarkStart w:id="18" w:name="_Toc238535919"/>
      <w:bookmarkEnd w:id="17"/>
      <w:r>
        <w:rPr/>
        <w:t>5.1 HCSC temporary organization</w:t>
      </w:r>
      <w:bookmarkEnd w:id="18"/>
    </w:p>
    <w:p>
      <w:pPr>
        <w:pStyle w:val="ListParagraph"/>
        <w:numPr>
          <w:ilvl w:val="0"/>
          <w:numId w:val="1"/>
        </w:numPr>
        <w:rPr>
          <w:rFonts w:eastAsia="Aptos"/>
        </w:rPr>
      </w:pPr>
      <w:r>
        <w:rPr>
          <w:rFonts w:eastAsia="Aptos"/>
        </w:rPr>
        <w:t>Create a temporary GitHub organization inside the HCSC GitHub Enterprise.</w:t>
      </w:r>
    </w:p>
    <w:p>
      <w:pPr>
        <w:pStyle w:val="ListParagraph"/>
        <w:numPr>
          <w:ilvl w:val="0"/>
          <w:numId w:val="1"/>
        </w:numPr>
        <w:rPr>
          <w:rFonts w:eastAsia="Aptos"/>
        </w:rPr>
      </w:pPr>
      <w:r>
        <w:rPr>
          <w:rFonts w:eastAsia="Aptos"/>
        </w:rPr>
        <w:t>Apply the HCSC Enterprise policies required to make the test representative of the final target.</w:t>
      </w:r>
    </w:p>
    <w:p>
      <w:pPr>
        <w:pStyle w:val="ListParagraph"/>
        <w:numPr>
          <w:ilvl w:val="0"/>
          <w:numId w:val="1"/>
        </w:numPr>
        <w:rPr>
          <w:rFonts w:eastAsia="Aptos"/>
        </w:rPr>
      </w:pPr>
      <w:r>
        <w:rPr>
          <w:rFonts w:eastAsia="Aptos"/>
        </w:rPr>
        <w:t>Configure the organization for GEI, GitHub Actions, required Apps, security controls and auditability.</w:t>
      </w:r>
    </w:p>
    <w:p>
      <w:pPr>
        <w:pStyle w:val="ListParagraph"/>
        <w:numPr>
          <w:ilvl w:val="0"/>
          <w:numId w:val="1"/>
        </w:numPr>
        <w:rPr>
          <w:rFonts w:eastAsia="Aptos"/>
        </w:rPr>
      </w:pPr>
      <w:r>
        <w:rPr>
          <w:rFonts w:eastAsia="Aptos"/>
        </w:rPr>
        <w:t>Provide access to the migration team and the selected HS developer test group.</w:t>
      </w:r>
    </w:p>
    <w:p>
      <w:pPr>
        <w:pStyle w:val="ListParagraph"/>
        <w:numPr>
          <w:ilvl w:val="0"/>
          <w:numId w:val="1"/>
        </w:numPr>
        <w:rPr>
          <w:rFonts w:eastAsia="Aptos"/>
        </w:rPr>
      </w:pPr>
      <w:r>
        <w:rPr>
          <w:rFonts w:eastAsia="Aptos"/>
        </w:rPr>
        <w:t>Keep the test organization isolated from the final production destination so the final migration can start from a clean approved state.</w:t>
      </w:r>
    </w:p>
    <w:p>
      <w:pPr>
        <w:pStyle w:val="ListParagraph"/>
        <w:numPr>
          <w:ilvl w:val="0"/>
          <w:numId w:val="1"/>
        </w:numPr>
        <w:rPr>
          <w:rFonts w:eastAsia="Aptos"/>
        </w:rPr>
      </w:pPr>
      <w:r>
        <w:rPr>
          <w:rFonts w:eastAsia="Aptos"/>
        </w:rPr>
        <w:t>Retain logs/evidence before the temporary organization is removed or reset.</w:t>
      </w:r>
    </w:p>
    <w:p>
      <w:pPr>
        <w:pStyle w:val="Normal"/>
        <w:rPr/>
      </w:pPr>
      <w:r>
        <w:rPr/>
      </w:r>
    </w:p>
    <w:p>
      <w:pPr>
        <w:pStyle w:val="Heading3"/>
        <w:rPr/>
      </w:pPr>
      <w:bookmarkStart w:id="19" w:name="__RefHeading___Toc2404_3011997666"/>
      <w:bookmarkStart w:id="20" w:name="_Toc238535920"/>
      <w:bookmarkEnd w:id="19"/>
      <w:r>
        <w:rPr/>
        <w:t>5.2 IAM test baseline</w:t>
      </w:r>
      <w:bookmarkEnd w:id="20"/>
    </w:p>
    <w:p>
      <w:pPr>
        <w:pStyle w:val="Normal"/>
        <w:rPr/>
      </w:pPr>
      <w:r>
        <w:rPr>
          <w:rFonts w:eastAsia="Aptos" w:cs="Aptos"/>
          <w:szCs w:val="20"/>
        </w:rPr>
        <w:t>HS users retain their existing individual accounts. HCSC prepares a custom authorization model to replace the current HS APP ID authorization approach.</w:t>
      </w:r>
    </w:p>
    <w:p>
      <w:pPr>
        <w:pStyle w:val="ListParagraph"/>
        <w:numPr>
          <w:ilvl w:val="0"/>
          <w:numId w:val="2"/>
        </w:numPr>
        <w:rPr>
          <w:rFonts w:eastAsia="Aptos"/>
        </w:rPr>
      </w:pPr>
      <w:r>
        <w:rPr>
          <w:rFonts w:eastAsia="Aptos"/>
        </w:rPr>
        <w:t>Use the HS Okta groups/members raw inventory as a baseline/reference for access requirements.</w:t>
      </w:r>
    </w:p>
    <w:p>
      <w:pPr>
        <w:pStyle w:val="ListParagraph"/>
        <w:numPr>
          <w:ilvl w:val="0"/>
          <w:numId w:val="2"/>
        </w:numPr>
        <w:rPr>
          <w:rFonts w:eastAsia="Aptos"/>
        </w:rPr>
      </w:pPr>
      <w:r>
        <w:rPr>
          <w:rFonts w:eastAsia="Aptos"/>
        </w:rPr>
        <w:t>Identify the HS users participating in test UAT and their required organization/team/repository permissions.</w:t>
      </w:r>
    </w:p>
    <w:p>
      <w:pPr>
        <w:pStyle w:val="ListParagraph"/>
        <w:numPr>
          <w:ilvl w:val="0"/>
          <w:numId w:val="2"/>
        </w:numPr>
        <w:rPr>
          <w:rFonts w:eastAsia="Aptos"/>
        </w:rPr>
      </w:pPr>
      <w:r>
        <w:rPr>
          <w:rFonts w:eastAsia="Aptos"/>
        </w:rPr>
        <w:t>Configure the HCSC-specific authorization approach for the test organization.</w:t>
      </w:r>
    </w:p>
    <w:p>
      <w:pPr>
        <w:pStyle w:val="ListParagraph"/>
        <w:numPr>
          <w:ilvl w:val="0"/>
          <w:numId w:val="2"/>
        </w:numPr>
        <w:rPr>
          <w:rFonts w:eastAsia="Aptos"/>
        </w:rPr>
      </w:pPr>
      <w:r>
        <w:rPr>
          <w:rFonts w:eastAsia="Aptos"/>
        </w:rPr>
        <w:t>Validate that users can access only the expected repositories and functions.</w:t>
      </w:r>
    </w:p>
    <w:p>
      <w:pPr>
        <w:pStyle w:val="ListParagraph"/>
        <w:numPr>
          <w:ilvl w:val="0"/>
          <w:numId w:val="2"/>
        </w:numPr>
        <w:rPr>
          <w:rFonts w:eastAsia="Aptos"/>
        </w:rPr>
      </w:pPr>
      <w:r>
        <w:rPr>
          <w:rFonts w:eastAsia="Aptos"/>
        </w:rPr>
        <w:t>Record access gaps as test defects and update the final authorization mapping.</w:t>
      </w:r>
    </w:p>
    <w:p>
      <w:pPr>
        <w:pStyle w:val="Heading2"/>
        <w:numPr>
          <w:ilvl w:val="0"/>
          <w:numId w:val="13"/>
        </w:numPr>
        <w:ind w:hanging="0" w:left="180"/>
        <w:rPr/>
      </w:pPr>
      <w:bookmarkStart w:id="21" w:name="__RefHeading___Toc2406_3011997666"/>
      <w:bookmarkStart w:id="22" w:name="_Toc238535921"/>
      <w:bookmarkEnd w:id="21"/>
      <w:r>
        <w:rPr/>
        <w:t>Runner and Networking Test Strategy</w:t>
      </w:r>
      <w:bookmarkEnd w:id="22"/>
    </w:p>
    <w:p>
      <w:pPr>
        <w:pStyle w:val="Normal"/>
        <w:rPr/>
      </w:pPr>
      <w:r>
        <w:rPr>
          <w:rFonts w:eastAsia="Aptos" w:cs="Aptos"/>
          <w:szCs w:val="20"/>
        </w:rPr>
        <w:t>Runner validation is a mandatory part of the test because repository migration can succeed while CI/CD remains unusable. The revised strategy avoids disrupting the currently used HS runner infrastructure during test by cloning the relevant runner and networking environments.</w:t>
      </w:r>
    </w:p>
    <w:p>
      <w:pPr>
        <w:pStyle w:val="Heading3"/>
        <w:rPr/>
      </w:pPr>
      <w:bookmarkStart w:id="23" w:name="__RefHeading___Toc2408_3011997666"/>
      <w:bookmarkStart w:id="24" w:name="_Toc238535922"/>
      <w:bookmarkEnd w:id="23"/>
      <w:r>
        <w:rPr/>
        <w:t>6.1 GitHub-hosted/public runners</w:t>
      </w:r>
      <w:bookmarkEnd w:id="24"/>
    </w:p>
    <w:p>
      <w:pPr>
        <w:pStyle w:val="Normal"/>
        <w:rPr/>
      </w:pPr>
      <w:r>
        <w:rPr>
          <w:rFonts w:eastAsia="Aptos" w:cs="Aptos"/>
          <w:szCs w:val="20"/>
        </w:rPr>
        <w:t>The HCSC-side public/GitHub-hosted runner configurations already prepared should be reused for the test where they match the required workflow patterns.</w:t>
      </w:r>
    </w:p>
    <w:p>
      <w:pPr>
        <w:pStyle w:val="ListParagraph"/>
        <w:numPr>
          <w:ilvl w:val="0"/>
          <w:numId w:val="5"/>
        </w:numPr>
        <w:rPr>
          <w:rFonts w:eastAsia="Aptos"/>
        </w:rPr>
      </w:pPr>
      <w:r>
        <w:rPr>
          <w:rFonts w:eastAsia="Aptos"/>
        </w:rPr>
        <w:t>Validate runner groups, labels and organization access.</w:t>
      </w:r>
    </w:p>
    <w:p>
      <w:pPr>
        <w:pStyle w:val="ListParagraph"/>
        <w:numPr>
          <w:ilvl w:val="0"/>
          <w:numId w:val="5"/>
        </w:numPr>
        <w:rPr>
          <w:rFonts w:eastAsia="Aptos"/>
        </w:rPr>
      </w:pPr>
      <w:r>
        <w:rPr>
          <w:rFonts w:eastAsia="Aptos"/>
        </w:rPr>
        <w:t>Validate representative workflows that use these runners.</w:t>
      </w:r>
    </w:p>
    <w:p>
      <w:pPr>
        <w:pStyle w:val="ListParagraph"/>
        <w:numPr>
          <w:ilvl w:val="0"/>
          <w:numId w:val="5"/>
        </w:numPr>
        <w:rPr>
          <w:rFonts w:eastAsia="Aptos"/>
        </w:rPr>
      </w:pPr>
      <w:r>
        <w:rPr>
          <w:rFonts w:eastAsia="Aptos"/>
        </w:rPr>
        <w:t>Confirm capacity and policy behavior under test load.</w:t>
      </w:r>
    </w:p>
    <w:p>
      <w:pPr>
        <w:pStyle w:val="ListParagraph"/>
        <w:numPr>
          <w:ilvl w:val="0"/>
          <w:numId w:val="5"/>
        </w:numPr>
        <w:rPr>
          <w:rFonts w:eastAsia="Aptos"/>
        </w:rPr>
      </w:pPr>
      <w:r>
        <w:rPr>
          <w:rFonts w:eastAsia="Aptos"/>
        </w:rPr>
        <w:t>Record any repository-specific bindings that can only be completed after destination repositories exist.</w:t>
      </w:r>
    </w:p>
    <w:p>
      <w:pPr>
        <w:pStyle w:val="Heading3"/>
        <w:rPr/>
      </w:pPr>
      <w:bookmarkStart w:id="25" w:name="__RefHeading___Toc2410_3011997666"/>
      <w:bookmarkStart w:id="26" w:name="_Toc238535923"/>
      <w:bookmarkEnd w:id="25"/>
      <w:r>
        <w:rPr/>
        <w:t>6.2 Azure private-networked GitHub runners</w:t>
      </w:r>
      <w:bookmarkEnd w:id="26"/>
    </w:p>
    <w:p>
      <w:pPr>
        <w:pStyle w:val="Normal"/>
        <w:rPr/>
      </w:pPr>
      <w:r>
        <w:rPr/>
        <w:t>TEST_PRIVATE_VNET_NAME=&lt;HS/HCSC to provide&gt;</w:t>
        <w:br/>
        <w:t>VNET_CONFIGURATION_OWNER=&lt;to be confirmed&gt;</w:t>
      </w:r>
    </w:p>
    <w:p>
      <w:pPr>
        <w:pStyle w:val="Normal"/>
        <w:rPr/>
      </w:pPr>
      <w:r>
        <w:rPr/>
        <w:t>An existing unused HS Azure VNet is planned for the Full Migration Test so private-runner behavior can be validated without affecting the current HS production runner network.</w:t>
      </w:r>
    </w:p>
    <w:p>
      <w:pPr>
        <w:pStyle w:val="Normal"/>
        <w:rPr/>
      </w:pPr>
      <w:r>
        <w:rPr/>
        <w:t>Confirm the private runner is available to the HCSC test organization with the expected runner group and access policy.</w:t>
      </w:r>
    </w:p>
    <w:p>
      <w:pPr>
        <w:pStyle w:val="Normal"/>
        <w:rPr/>
      </w:pPr>
      <w:r>
        <w:rPr/>
        <w:t>Validate representative workflows requiring private connectivity.</w:t>
      </w:r>
    </w:p>
    <w:p>
      <w:pPr>
        <w:pStyle w:val="Normal"/>
        <w:rPr/>
      </w:pPr>
      <w:r>
        <w:rPr/>
        <w:t>Confirm required internal destinations are reachable and capture workflow/connectivity evidence.</w:t>
      </w:r>
    </w:p>
    <w:p>
      <w:pPr>
        <w:pStyle w:val="Normal"/>
        <w:rPr/>
      </w:pPr>
      <w:r>
        <w:rPr/>
        <w:t>Record any network, DNS, proxy, firewall or policy issue as a test defect.</w:t>
      </w:r>
    </w:p>
    <w:p>
      <w:pPr>
        <w:pStyle w:val="Normal"/>
        <w:rPr/>
      </w:pPr>
      <w:r>
        <w:rPr/>
        <w:t>The detailed VNet/network configuration procedure is maintained outside this Test Strategy in the runner/network connectivity plan.</w:t>
      </w:r>
    </w:p>
    <w:p>
      <w:pPr>
        <w:pStyle w:val="Heading3"/>
        <w:rPr/>
      </w:pPr>
      <w:bookmarkStart w:id="27" w:name="__RefHeading___Toc2412_3011997666"/>
      <w:bookmarkStart w:id="28" w:name="_Toc238535924"/>
      <w:bookmarkEnd w:id="27"/>
      <w:r>
        <w:rPr/>
        <w:t>6.3 Self-hosted runners</w:t>
      </w:r>
      <w:bookmarkEnd w:id="28"/>
    </w:p>
    <w:p>
      <w:pPr>
        <w:pStyle w:val="Normal"/>
        <w:rPr/>
      </w:pPr>
      <w:r>
        <w:rPr/>
        <w:t>TEST_SELF_HOSTED_PROD_VM=&lt;HS to provide&gt;</w:t>
        <w:br/>
        <w:t>TEST_SELF_HOSTED_DEV_VM=&lt;HS to provide&gt;</w:t>
        <w:br/>
        <w:t>SELF_HOSTED_VM_OWNER=&lt;to be confirmed&gt;</w:t>
      </w:r>
    </w:p>
    <w:p>
      <w:pPr>
        <w:pStyle w:val="Normal"/>
        <w:rPr/>
      </w:pPr>
      <w:r>
        <w:rPr/>
        <w:t>Two cloned HS VMs are planned for the Full Migration Test to represent the production and development self-hosted runner patterns without interrupting the currently used HS runners.</w:t>
      </w:r>
    </w:p>
    <w:p>
      <w:pPr>
        <w:pStyle w:val="Normal"/>
        <w:rPr/>
      </w:pPr>
      <w:r>
        <w:rPr/>
        <w:t>Confirm both test runners are online in the HCSC test organization with the expected groups and labels.</w:t>
      </w:r>
    </w:p>
    <w:p>
      <w:pPr>
        <w:pStyle w:val="Normal"/>
        <w:rPr/>
      </w:pPr>
      <w:r>
        <w:rPr/>
        <w:t>Execute representative production and development workflows and verify runner selection and required dependencies.</w:t>
      </w:r>
    </w:p>
    <w:p>
      <w:pPr>
        <w:pStyle w:val="Normal"/>
        <w:rPr/>
      </w:pPr>
      <w:r>
        <w:rPr/>
        <w:t>Capture runner/workflow evidence and record configuration or connectivity gaps as defects.</w:t>
      </w:r>
    </w:p>
    <w:p>
      <w:pPr>
        <w:pStyle w:val="Normal"/>
        <w:rPr/>
      </w:pPr>
      <w:r>
        <w:rPr/>
        <w:t>Runner build, registration and final cutover procedures are maintained in the Self-Hosted Runner Connectivity/Cutover Plan and Migration Runbook.</w:t>
      </w:r>
    </w:p>
    <w:p>
      <w:pPr>
        <w:pStyle w:val="Heading3"/>
        <w:rPr/>
      </w:pPr>
      <w:bookmarkStart w:id="29" w:name="__RefHeading___Toc2414_3011997666"/>
      <w:bookmarkStart w:id="30" w:name="_Toc238535925"/>
      <w:bookmarkEnd w:id="29"/>
      <w:r>
        <w:rPr/>
        <w:t>6.4 Current Self-Hosted runner examples to cover</w:t>
      </w:r>
      <w:bookmarkEnd w:id="30"/>
    </w:p>
    <w:tbl>
      <w:tblPr>
        <w:tblStyle w:val="TableGrid"/>
        <w:tblW w:w="10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75"/>
        <w:gridCol w:w="4311"/>
        <w:gridCol w:w="3594"/>
      </w:tblGrid>
      <w:tr>
        <w:trPr>
          <w:trHeight w:val="300" w:hRule="atLeast"/>
        </w:trPr>
        <w:tc>
          <w:tcPr>
            <w:tcW w:w="2875"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left"/>
              <w:rPr>
                <w:rFonts w:ascii="Aptos" w:hAnsi="Aptos"/>
                <w:lang w:val="en-US" w:eastAsia="en-US" w:bidi="ar-SA"/>
              </w:rPr>
            </w:pPr>
            <w:r>
              <w:rPr>
                <w:rFonts w:eastAsia="Aptos" w:cs="Aptos"/>
                <w:b/>
                <w:bCs/>
                <w:color w:themeColor="text1" w:val="000000"/>
                <w:sz w:val="18"/>
                <w:szCs w:val="18"/>
                <w:lang w:val="en-US" w:eastAsia="en-US" w:bidi="ar-SA"/>
              </w:rPr>
              <w:t>Runner</w:t>
            </w:r>
          </w:p>
        </w:tc>
        <w:tc>
          <w:tcPr>
            <w:tcW w:w="4311"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left"/>
              <w:rPr>
                <w:rFonts w:ascii="Aptos" w:hAnsi="Aptos"/>
                <w:lang w:val="en-US" w:eastAsia="en-US" w:bidi="ar-SA"/>
              </w:rPr>
            </w:pPr>
            <w:r>
              <w:rPr>
                <w:rFonts w:eastAsia="Aptos" w:cs="Aptos"/>
                <w:b/>
                <w:bCs/>
                <w:color w:themeColor="text1" w:val="000000"/>
                <w:sz w:val="18"/>
                <w:szCs w:val="18"/>
                <w:lang w:val="en-US" w:eastAsia="en-US" w:bidi="ar-SA"/>
              </w:rPr>
              <w:t>Runner group / labels</w:t>
            </w:r>
          </w:p>
        </w:tc>
        <w:tc>
          <w:tcPr>
            <w:tcW w:w="3594"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left"/>
              <w:rPr>
                <w:rFonts w:ascii="Aptos" w:hAnsi="Aptos"/>
                <w:lang w:val="en-US" w:eastAsia="en-US" w:bidi="ar-SA"/>
              </w:rPr>
            </w:pPr>
            <w:r>
              <w:rPr>
                <w:rFonts w:eastAsia="Aptos" w:cs="Aptos"/>
                <w:b/>
                <w:bCs/>
                <w:color w:themeColor="text1" w:val="000000"/>
                <w:sz w:val="18"/>
                <w:szCs w:val="18"/>
                <w:lang w:val="en-US" w:eastAsia="en-US" w:bidi="ar-SA"/>
              </w:rPr>
              <w:t>Test expectation</w:t>
            </w:r>
          </w:p>
        </w:tc>
      </w:tr>
      <w:tr>
        <w:trPr>
          <w:trHeight w:val="300" w:hRule="atLeast"/>
        </w:trPr>
        <w:tc>
          <w:tcPr>
            <w:tcW w:w="2875"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usmg-prod-RAES-windows-runner-01</w:t>
            </w:r>
          </w:p>
        </w:tc>
        <w:tc>
          <w:tcPr>
            <w:tcW w:w="4311"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prod-raes-windows; ssis-org-windows-production-runner; self-hosted; Windows; X64</w:t>
            </w:r>
          </w:p>
        </w:tc>
        <w:tc>
          <w:tcPr>
            <w:tcW w:w="3594"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Cs w:val="20"/>
                <w:lang w:val="en-US" w:eastAsia="en-US" w:bidi="ar-SA"/>
              </w:rPr>
              <w:t>Use the cloned PROD VM (name &lt;see Section 6.3&gt;) registered to HCSC and test the production runner pattern.</w:t>
            </w:r>
          </w:p>
        </w:tc>
      </w:tr>
      <w:tr>
        <w:trPr>
          <w:trHeight w:val="300" w:hRule="atLeast"/>
        </w:trPr>
        <w:tc>
          <w:tcPr>
            <w:tcW w:w="2875"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usmg-dev-RAES-windows-runner-01</w:t>
            </w:r>
          </w:p>
        </w:tc>
        <w:tc>
          <w:tcPr>
            <w:tcW w:w="4311"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dev-raes-windows; ssis-org-windows-non-production-runner; self-hosted; Windows; X64</w:t>
            </w:r>
          </w:p>
        </w:tc>
        <w:tc>
          <w:tcPr>
            <w:tcW w:w="3594"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Cs w:val="20"/>
                <w:lang w:val="en-US" w:eastAsia="en-US" w:bidi="ar-SA"/>
              </w:rPr>
              <w:t>Use the cloned DEV VM (name &lt;see Section 6.3&gt;) registered to HCSC and test the non-production runner pattern.</w:t>
            </w:r>
          </w:p>
        </w:tc>
      </w:tr>
    </w:tbl>
    <w:p>
      <w:pPr>
        <w:pStyle w:val="Heading2"/>
        <w:numPr>
          <w:ilvl w:val="0"/>
          <w:numId w:val="13"/>
        </w:numPr>
        <w:ind w:hanging="0" w:left="180"/>
        <w:rPr/>
      </w:pPr>
      <w:bookmarkStart w:id="31" w:name="__RefHeading___Toc2416_3011997666"/>
      <w:bookmarkStart w:id="32" w:name="_Toc238535926"/>
      <w:bookmarkEnd w:id="31"/>
      <w:r>
        <w:rPr/>
        <w:t>Dependencies and Responsibilities</w:t>
      </w:r>
      <w:bookmarkEnd w:id="32"/>
    </w:p>
    <w:p>
      <w:pPr>
        <w:pStyle w:val="Heading3"/>
        <w:rPr/>
      </w:pPr>
      <w:bookmarkStart w:id="33" w:name="__RefHeading___Toc2418_3011997666"/>
      <w:bookmarkStart w:id="34" w:name="_Toc238535927"/>
      <w:bookmarkEnd w:id="33"/>
      <w:r>
        <w:rPr/>
        <w:t>7.1 HCSC dependencies</w:t>
      </w:r>
      <w:bookmarkEnd w:id="34"/>
    </w:p>
    <w:p>
      <w:pPr>
        <w:pStyle w:val="Normal"/>
        <w:rPr/>
      </w:pPr>
      <w:r>
        <w:rPr/>
        <w:t>HCSC temporary organization and required administrative access are available.</w:t>
      </w:r>
    </w:p>
    <w:p>
      <w:pPr>
        <w:pStyle w:val="Normal"/>
        <w:rPr/>
      </w:pPr>
      <w:r>
        <w:rPr/>
        <w:t>HCSC target IAM/test-user authorization is available for the selected HS users.</w:t>
      </w:r>
    </w:p>
    <w:p>
      <w:pPr>
        <w:pStyle w:val="Normal"/>
        <w:rPr/>
      </w:pPr>
      <w:r>
        <w:rPr/>
        <w:t>Required HCSC runner groups, policies and GitHub Enterprise controls are available for validation.</w:t>
      </w:r>
    </w:p>
    <w:p>
      <w:pPr>
        <w:pStyle w:val="Normal"/>
        <w:rPr/>
      </w:pPr>
      <w:r>
        <w:rPr/>
        <w:t>HCSC GitHub Admin, IAM, Networking/Platform and Security SMEs are available for test support and defect review.</w:t>
      </w:r>
    </w:p>
    <w:p>
      <w:pPr>
        <w:pStyle w:val="Heading3"/>
        <w:rPr/>
      </w:pPr>
      <w:bookmarkStart w:id="35" w:name="__RefHeading___Toc2420_3011997666"/>
      <w:bookmarkStart w:id="36" w:name="_Toc238535928"/>
      <w:bookmarkEnd w:id="35"/>
      <w:r>
        <w:rPr/>
        <w:t>7.2 HS dependencies</w:t>
      </w:r>
      <w:bookmarkEnd w:id="36"/>
    </w:p>
    <w:p>
      <w:pPr>
        <w:pStyle w:val="Normal"/>
        <w:rPr/>
      </w:pPr>
      <w:r>
        <w:rPr/>
        <w:t>Complete source repository inventory and required source access are available.</w:t>
      </w:r>
    </w:p>
    <w:p>
      <w:pPr>
        <w:pStyle w:val="Normal"/>
        <w:rPr/>
      </w:pPr>
      <w:r>
        <w:rPr/>
        <w:t>The existing unused VNet and two cloned self-hosted VMs are available for runner testing.</w:t>
      </w:r>
    </w:p>
    <w:p>
      <w:pPr>
        <w:pStyle w:val="Normal"/>
        <w:rPr/>
      </w:pPr>
      <w:r>
        <w:rPr/>
        <w:t>HS provides the runner/network dependency information needed to validate representative workflows.</w:t>
      </w:r>
    </w:p>
    <w:p>
      <w:pPr>
        <w:pStyle w:val="Normal"/>
        <w:rPr/>
      </w:pPr>
      <w:r>
        <w:rPr/>
        <w:t>HS identifies developers/application owners for functional testing and integration owners where validation is required.</w:t>
      </w:r>
    </w:p>
    <w:p>
      <w:pPr>
        <w:pStyle w:val="Heading3"/>
        <w:rPr/>
      </w:pPr>
      <w:bookmarkStart w:id="37" w:name="__RefHeading___Toc2422_3011997666"/>
      <w:bookmarkStart w:id="38" w:name="_Toc238535929"/>
      <w:bookmarkEnd w:id="37"/>
      <w:r>
        <w:rPr/>
        <w:t>7.3 Joint dependencies</w:t>
      </w:r>
      <w:bookmarkEnd w:id="38"/>
    </w:p>
    <w:p>
      <w:pPr>
        <w:pStyle w:val="Normal"/>
        <w:rPr/>
      </w:pPr>
      <w:r>
        <w:rPr/>
        <w:t>Test window, participants, evidence location and escalation path are agreed.</w:t>
      </w:r>
    </w:p>
    <w:p>
      <w:pPr>
        <w:pStyle w:val="Normal"/>
        <w:rPr/>
      </w:pPr>
      <w:r>
        <w:rPr/>
        <w:t>Representative runner/network and developer functional test cases are agreed.</w:t>
      </w:r>
    </w:p>
    <w:p>
      <w:pPr>
        <w:pStyle w:val="Normal"/>
        <w:rPr/>
      </w:pPr>
      <w:r>
        <w:rPr/>
        <w:t>Defect severity, ownership, retest and readiness/sign-off process are agreed.</w:t>
      </w:r>
    </w:p>
    <w:p>
      <w:pPr>
        <w:pStyle w:val="Heading3"/>
        <w:rPr/>
      </w:pPr>
      <w:bookmarkStart w:id="39" w:name="__RefHeading___Toc2424_3011997666"/>
      <w:bookmarkStart w:id="40" w:name="_Toc238535930"/>
      <w:bookmarkEnd w:id="39"/>
      <w:r>
        <w:rPr/>
        <w:t>7.4 Responsibility Matrix</w:t>
      </w:r>
      <w:bookmarkEnd w:id="40"/>
    </w:p>
    <w:p>
      <w:pPr>
        <w:pStyle w:val="Normal"/>
        <w:rPr/>
      </w:pPr>
      <w:r>
        <w:rPr>
          <w:rFonts w:eastAsia="Aptos" w:cs="Aptos"/>
          <w:szCs w:val="20"/>
        </w:rPr>
        <w:t>This matrix identifies the primary team responsible for each major Full Migration Test activity and the teams expected to provide support.</w:t>
      </w:r>
    </w:p>
    <w:tbl>
      <w:tblPr>
        <w:tblStyle w:val="TableGrid"/>
        <w:tblW w:w="104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5"/>
        <w:gridCol w:w="3485"/>
        <w:gridCol w:w="3485"/>
      </w:tblGrid>
      <w:tr>
        <w:trPr>
          <w:trHeight w:val="300" w:hRule="atLeast"/>
        </w:trPr>
        <w:tc>
          <w:tcPr>
            <w:tcW w:w="3485"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szCs w:val="20"/>
                <w:lang w:val="en-US" w:eastAsia="en-US" w:bidi="ar-SA"/>
              </w:rPr>
              <w:t>Activity</w:t>
            </w:r>
          </w:p>
        </w:tc>
        <w:tc>
          <w:tcPr>
            <w:tcW w:w="3485"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szCs w:val="20"/>
                <w:lang w:val="en-US" w:eastAsia="en-US" w:bidi="ar-SA"/>
              </w:rPr>
              <w:t>Responsible</w:t>
            </w:r>
          </w:p>
        </w:tc>
        <w:tc>
          <w:tcPr>
            <w:tcW w:w="3485"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szCs w:val="20"/>
                <w:lang w:val="en-US" w:eastAsia="en-US" w:bidi="ar-SA"/>
              </w:rPr>
              <w:t>Support</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temporary organization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GitHub Admin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IAM / test user access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IAM</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 / ELEKS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Full GEI migration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GitHub Admin</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Custom migration scripts / remediation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 HS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Existing unused VNet preparation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HS/HCSC Networking</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GitHub Admin</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Two cloned self-hosted VMs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 Infrastructure</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 ELEKS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Runner registration/configuration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GitHub Admin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 / ELEKS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Runner/network connectivity validation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HS/HCSC Networking</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Automated migration validation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 HS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Developer functional testing</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 Developers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 / HCSC</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Defect remediation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Assigned defect owner</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Relevant teams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Exit Gate / readiness decision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 Project Leads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 / ELEKS</w:t>
            </w:r>
          </w:p>
        </w:tc>
      </w:tr>
    </w:tbl>
    <w:p>
      <w:pPr>
        <w:pStyle w:val="Heading2"/>
        <w:numPr>
          <w:ilvl w:val="0"/>
          <w:numId w:val="13"/>
        </w:numPr>
        <w:ind w:hanging="0" w:left="180"/>
        <w:rPr/>
      </w:pPr>
      <w:bookmarkStart w:id="41" w:name="__RefHeading___Toc2426_3011997666"/>
      <w:bookmarkStart w:id="42" w:name="_Toc238535931"/>
      <w:bookmarkEnd w:id="41"/>
      <w:r>
        <w:rPr/>
        <w:t>Test Entry Criteria</w:t>
      </w:r>
      <w:bookmarkEnd w:id="42"/>
    </w:p>
    <w:p>
      <w:pPr>
        <w:pStyle w:val="Normal"/>
        <w:rPr/>
      </w:pPr>
      <w:r>
        <w:rPr/>
        <w:t>HCSC temporary test organization is available and the production-like target policy baseline is agreed.</w:t>
      </w:r>
    </w:p>
    <w:p>
      <w:pPr>
        <w:pStyle w:val="Normal"/>
        <w:rPr/>
      </w:pPr>
      <w:r>
        <w:rPr/>
        <w:t>Source and destination migration credentials/permissions are validated.</w:t>
      </w:r>
    </w:p>
    <w:p>
      <w:pPr>
        <w:pStyle w:val="Normal"/>
        <w:rPr/>
      </w:pPr>
      <w:r>
        <w:rPr/>
        <w:t>Selected HS test users have the required HCSC authorization to perform functional testing.</w:t>
      </w:r>
    </w:p>
    <w:p>
      <w:pPr>
        <w:pStyle w:val="Normal"/>
        <w:rPr/>
      </w:pPr>
      <w:r>
        <w:rPr/>
        <w:t>Public runner configuration is available where applicable.</w:t>
      </w:r>
    </w:p>
    <w:p>
      <w:pPr>
        <w:pStyle w:val="Normal"/>
        <w:rPr/>
      </w:pPr>
      <w:r>
        <w:rPr/>
        <w:t>The existing unused HS VNet is identified and private-runner connectivity prechecks are complete.</w:t>
      </w:r>
    </w:p>
    <w:p>
      <w:pPr>
        <w:pStyle w:val="Normal"/>
        <w:rPr/>
      </w:pPr>
      <w:r>
        <w:rPr/>
        <w:t>The cloned PROD and DEV self-hosted runner VMs are identified, registered and available for testing.</w:t>
      </w:r>
    </w:p>
    <w:p>
      <w:pPr>
        <w:pStyle w:val="Normal"/>
        <w:rPr/>
      </w:pPr>
      <w:r>
        <w:rPr/>
        <w:t>HS developers/application owners participating in functional testing are identified and the Developer Functional Test Matrix is prepared.</w:t>
      </w:r>
    </w:p>
    <w:p>
      <w:pPr>
        <w:pStyle w:val="Normal"/>
        <w:rPr/>
      </w:pPr>
      <w:r>
        <w:rPr/>
        <w:t>Evidence location, defect process, test window and rollback/cleanup approach for the temporary test environment are agreed.</w:t>
      </w:r>
    </w:p>
    <w:p>
      <w:pPr>
        <w:pStyle w:val="Normal"/>
        <w:rPr/>
      </w:pPr>
      <w:r>
        <w:rPr/>
        <w:t>Migration tooling and required package/integration test prerequisites are ready for the planned test scope.</w:t>
      </w:r>
    </w:p>
    <w:p>
      <w:pPr>
        <w:pStyle w:val="Heading2"/>
        <w:numPr>
          <w:ilvl w:val="0"/>
          <w:numId w:val="13"/>
        </w:numPr>
        <w:ind w:hanging="0" w:left="180"/>
        <w:rPr/>
      </w:pPr>
      <w:bookmarkStart w:id="43" w:name="__RefHeading___Toc2428_3011997666"/>
      <w:bookmarkStart w:id="44" w:name="_Toc238535932"/>
      <w:bookmarkEnd w:id="43"/>
      <w:r>
        <w:rPr/>
        <w:t>Test Execution</w:t>
      </w:r>
      <w:bookmarkEnd w:id="44"/>
    </w:p>
    <w:p>
      <w:pPr>
        <w:pStyle w:val="Normal"/>
        <w:rPr/>
      </w:pPr>
      <w:r>
        <w:rPr/>
        <w:t>The Full Migration Test is executed as a quality-validation sequence. Detailed migration commands and implementation procedures are maintained in the GitHub Migration Technical Plan and Migration Runbook.</w:t>
      </w:r>
    </w:p>
    <w:p>
      <w:pPr>
        <w:pStyle w:val="Normal"/>
        <w:rPr/>
      </w:pPr>
      <w:r>
        <w:rPr/>
        <w:t>Readiness check - confirm all Test Entry Criteria are satisfied before starting.</w:t>
      </w:r>
    </w:p>
    <w:p>
      <w:pPr>
        <w:pStyle w:val="Normal"/>
        <w:rPr/>
      </w:pPr>
      <w:r>
        <w:rPr/>
        <w:t>Full migration - execute the complete HS-to-HCSC test migration using the approved production-intended migration process and retain migration logs/results.</w:t>
      </w:r>
    </w:p>
    <w:p>
      <w:pPr>
        <w:pStyle w:val="Normal"/>
        <w:rPr/>
      </w:pPr>
      <w:r>
        <w:rPr/>
        <w:t>Technical validation - reconcile source and target results and validate IAM, runner patterns, private connectivity, required configuration, secrets/packages and applicable integrations.</w:t>
      </w:r>
    </w:p>
    <w:p>
      <w:pPr>
        <w:pStyle w:val="Normal"/>
        <w:rPr/>
      </w:pPr>
      <w:r>
        <w:rPr/>
        <w:t>Developer functional testing - selected HS developers execute the agreed test cases against migrated repositories and record results/evidence.</w:t>
      </w:r>
    </w:p>
    <w:p>
      <w:pPr>
        <w:pStyle w:val="Normal"/>
        <w:rPr/>
      </w:pPr>
      <w:r>
        <w:rPr/>
        <w:t>Defect and readiness review - assess defects, retest where required, consolidate evidence and evaluate the Exit Gate.</w:t>
      </w:r>
    </w:p>
    <w:p>
      <w:pPr>
        <w:pStyle w:val="Heading2"/>
        <w:numPr>
          <w:ilvl w:val="0"/>
          <w:numId w:val="13"/>
        </w:numPr>
        <w:ind w:hanging="0" w:left="180"/>
        <w:rPr/>
      </w:pPr>
      <w:bookmarkStart w:id="45" w:name="__RefHeading___Toc2430_3011997666"/>
      <w:bookmarkStart w:id="46" w:name="_Toc238535933"/>
      <w:bookmarkEnd w:id="45"/>
      <w:r>
        <w:rPr/>
        <w:t>Validation Model</w:t>
      </w:r>
      <w:bookmarkEnd w:id="46"/>
    </w:p>
    <w:p>
      <w:pPr>
        <w:pStyle w:val="Heading3"/>
        <w:rPr/>
      </w:pPr>
      <w:bookmarkStart w:id="47" w:name="__RefHeading___Toc2432_3011997666"/>
      <w:bookmarkStart w:id="48" w:name="_Toc238535934"/>
      <w:bookmarkEnd w:id="47"/>
      <w:r>
        <w:rPr/>
        <w:t>10.1 100% migration accounting</w:t>
      </w:r>
      <w:bookmarkEnd w:id="48"/>
    </w:p>
    <w:p>
      <w:pPr>
        <w:pStyle w:val="Normal"/>
        <w:rPr/>
      </w:pPr>
      <w:r>
        <w:rPr>
          <w:rFonts w:eastAsia="Aptos" w:cs="Aptos"/>
          <w:szCs w:val="20"/>
        </w:rPr>
        <w:t>Every in-scope repository must receive a recorded result.</w:t>
      </w:r>
    </w:p>
    <w:tbl>
      <w:tblPr>
        <w:tblStyle w:val="TableGrid"/>
        <w:tblW w:w="10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8"/>
        <w:gridCol w:w="4533"/>
        <w:gridCol w:w="3119"/>
      </w:tblGrid>
      <w:tr>
        <w:trPr>
          <w:trHeight w:val="300" w:hRule="atLeast"/>
        </w:trPr>
        <w:tc>
          <w:tcPr>
            <w:tcW w:w="3128"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center"/>
              <w:rPr>
                <w:rFonts w:ascii="Aptos" w:hAnsi="Aptos"/>
                <w:lang w:val="en-US" w:eastAsia="en-US" w:bidi="ar-SA"/>
              </w:rPr>
            </w:pPr>
            <w:r>
              <w:rPr>
                <w:rFonts w:eastAsia="Aptos" w:cs="Aptos"/>
                <w:b/>
                <w:bCs/>
                <w:color w:themeColor="text1" w:val="000000"/>
                <w:sz w:val="18"/>
                <w:szCs w:val="18"/>
                <w:lang w:val="en-US" w:eastAsia="en-US" w:bidi="ar-SA"/>
              </w:rPr>
              <w:t>Control</w:t>
            </w:r>
          </w:p>
        </w:tc>
        <w:tc>
          <w:tcPr>
            <w:tcW w:w="4533"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center"/>
              <w:rPr>
                <w:rFonts w:ascii="Aptos" w:hAnsi="Aptos"/>
                <w:lang w:val="en-US" w:eastAsia="en-US" w:bidi="ar-SA"/>
              </w:rPr>
            </w:pPr>
            <w:r>
              <w:rPr>
                <w:rFonts w:eastAsia="Aptos" w:cs="Aptos"/>
                <w:b/>
                <w:bCs/>
                <w:color w:themeColor="text1" w:val="000000"/>
                <w:sz w:val="18"/>
                <w:szCs w:val="18"/>
                <w:lang w:val="en-US" w:eastAsia="en-US" w:bidi="ar-SA"/>
              </w:rPr>
              <w:t>Expected result</w:t>
            </w:r>
          </w:p>
        </w:tc>
        <w:tc>
          <w:tcPr>
            <w:tcW w:w="3119"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center"/>
              <w:rPr>
                <w:rFonts w:ascii="Aptos" w:hAnsi="Aptos"/>
                <w:lang w:val="en-US" w:eastAsia="en-US" w:bidi="ar-SA"/>
              </w:rPr>
            </w:pPr>
            <w:r>
              <w:rPr>
                <w:rFonts w:eastAsia="Aptos" w:cs="Aptos"/>
                <w:b/>
                <w:bCs/>
                <w:color w:themeColor="text1" w:val="000000"/>
                <w:sz w:val="18"/>
                <w:szCs w:val="18"/>
                <w:lang w:val="en-US" w:eastAsia="en-US" w:bidi="ar-SA"/>
              </w:rPr>
              <w:t>Evidence</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Repository migration status</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100% of in-scope repos accounted for as pass/fail/exception</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GEI logs + migration report</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Destination repository existence</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Expected target repositories exist</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API inventory/diff</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Default branch / branches / tags</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Matches expected source state</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Automated validation output</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PRs/issues/history</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GEI-supported history preserved</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Automated counts + deep sample</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Org/repo configuration</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Expected automated/manual state present</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Config reconciliation report</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Secrets</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Expected names/scopes restored; functional consumers work</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Secrets report + workflow test</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Packages</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Required packages/versions accessible</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Package validation evidence</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Teams/access</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HCSC target authorization behaves as designed</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Access reconciliation + UAT</w:t>
            </w:r>
          </w:p>
        </w:tc>
      </w:tr>
      <w:tr>
        <w:trPr>
          <w:trHeight w:val="300" w:hRule="atLeast"/>
        </w:trPr>
        <w:tc>
          <w:tcPr>
            <w:tcW w:w="312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Runner dependencies</w:t>
            </w:r>
          </w:p>
        </w:tc>
        <w:tc>
          <w:tcPr>
            <w:tcW w:w="4533"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All critical runner patterns validated</w:t>
            </w:r>
          </w:p>
        </w:tc>
        <w:tc>
          <w:tcPr>
            <w:tcW w:w="3119"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Workflow run evidence</w:t>
            </w:r>
          </w:p>
        </w:tc>
      </w:tr>
    </w:tbl>
    <w:p>
      <w:pPr>
        <w:pStyle w:val="Heading3"/>
        <w:rPr/>
      </w:pPr>
      <w:bookmarkStart w:id="49" w:name="__RefHeading___Toc2434_3011997666"/>
      <w:bookmarkEnd w:id="49"/>
      <w:r>
        <w:rPr>
          <w:rFonts w:eastAsia="Aptos" w:cs="Aptos"/>
          <w:szCs w:val="20"/>
        </w:rPr>
        <w:t xml:space="preserve"> </w:t>
      </w:r>
      <w:bookmarkStart w:id="50" w:name="_Toc238535935"/>
      <w:r>
        <w:rPr/>
        <w:t>10.2 Deep risk-based validation</w:t>
      </w:r>
      <w:bookmarkEnd w:id="50"/>
    </w:p>
    <w:p>
      <w:pPr>
        <w:pStyle w:val="ListParagraph"/>
        <w:numPr>
          <w:ilvl w:val="0"/>
          <w:numId w:val="6"/>
        </w:numPr>
        <w:rPr>
          <w:rFonts w:eastAsia="Aptos"/>
        </w:rPr>
      </w:pPr>
      <w:r>
        <w:rPr>
          <w:rFonts w:eastAsia="Aptos"/>
        </w:rPr>
        <w:t>Large/complex repositories, including known outliers.</w:t>
      </w:r>
    </w:p>
    <w:p>
      <w:pPr>
        <w:pStyle w:val="ListParagraph"/>
        <w:numPr>
          <w:ilvl w:val="0"/>
          <w:numId w:val="6"/>
        </w:numPr>
        <w:rPr>
          <w:rFonts w:eastAsia="Aptos"/>
        </w:rPr>
      </w:pPr>
      <w:r>
        <w:rPr>
          <w:rFonts w:eastAsia="Aptos"/>
        </w:rPr>
        <w:t>Repositories with high branch/tag/PR/issue volume.</w:t>
      </w:r>
    </w:p>
    <w:p>
      <w:pPr>
        <w:pStyle w:val="ListParagraph"/>
        <w:numPr>
          <w:ilvl w:val="0"/>
          <w:numId w:val="6"/>
        </w:numPr>
        <w:rPr>
          <w:rFonts w:eastAsia="Aptos"/>
        </w:rPr>
      </w:pPr>
      <w:r>
        <w:rPr>
          <w:rFonts w:eastAsia="Aptos"/>
        </w:rPr>
        <w:t>Business critical applications.</w:t>
      </w:r>
    </w:p>
    <w:p>
      <w:pPr>
        <w:pStyle w:val="ListParagraph"/>
        <w:numPr>
          <w:ilvl w:val="0"/>
          <w:numId w:val="6"/>
        </w:numPr>
        <w:rPr>
          <w:rFonts w:eastAsia="Aptos"/>
        </w:rPr>
      </w:pPr>
      <w:r>
        <w:rPr>
          <w:rFonts w:eastAsia="Aptos"/>
        </w:rPr>
        <w:t>Each distinct runner label/group pattern.</w:t>
      </w:r>
    </w:p>
    <w:p>
      <w:pPr>
        <w:pStyle w:val="ListParagraph"/>
        <w:numPr>
          <w:ilvl w:val="0"/>
          <w:numId w:val="6"/>
        </w:numPr>
        <w:rPr>
          <w:rFonts w:eastAsia="Aptos"/>
        </w:rPr>
      </w:pPr>
      <w:r>
        <w:rPr>
          <w:rFonts w:eastAsia="Aptos"/>
        </w:rPr>
        <w:t>Private-network-dependent workflows.</w:t>
      </w:r>
    </w:p>
    <w:p>
      <w:pPr>
        <w:pStyle w:val="ListParagraph"/>
        <w:numPr>
          <w:ilvl w:val="0"/>
          <w:numId w:val="6"/>
        </w:numPr>
        <w:rPr>
          <w:rFonts w:eastAsia="Aptos"/>
        </w:rPr>
      </w:pPr>
      <w:r>
        <w:rPr>
          <w:rFonts w:eastAsia="Aptos"/>
        </w:rPr>
        <w:t>Self-hosted runner workflows.</w:t>
      </w:r>
    </w:p>
    <w:p>
      <w:pPr>
        <w:pStyle w:val="ListParagraph"/>
        <w:numPr>
          <w:ilvl w:val="0"/>
          <w:numId w:val="6"/>
        </w:numPr>
        <w:rPr>
          <w:rFonts w:eastAsia="Aptos"/>
        </w:rPr>
      </w:pPr>
      <w:r>
        <w:rPr>
          <w:rFonts w:eastAsia="Aptos"/>
        </w:rPr>
        <w:t>Workflows consuming secrets or packages.</w:t>
      </w:r>
    </w:p>
    <w:p>
      <w:pPr>
        <w:pStyle w:val="ListParagraph"/>
        <w:numPr>
          <w:ilvl w:val="0"/>
          <w:numId w:val="6"/>
        </w:numPr>
        <w:rPr>
          <w:rFonts w:eastAsia="Aptos"/>
        </w:rPr>
      </w:pPr>
      <w:r>
        <w:rPr>
          <w:rFonts w:eastAsia="Aptos"/>
        </w:rPr>
        <w:t>Environment approvals/protection rules.</w:t>
      </w:r>
    </w:p>
    <w:p>
      <w:pPr>
        <w:pStyle w:val="ListParagraph"/>
        <w:numPr>
          <w:ilvl w:val="0"/>
          <w:numId w:val="6"/>
        </w:numPr>
        <w:rPr>
          <w:rFonts w:eastAsia="Aptos"/>
        </w:rPr>
      </w:pPr>
      <w:r>
        <w:rPr>
          <w:rFonts w:eastAsia="Aptos"/>
        </w:rPr>
        <w:t>Cross-repository reusable workflows/actions.</w:t>
      </w:r>
    </w:p>
    <w:p>
      <w:pPr>
        <w:pStyle w:val="ListParagraph"/>
        <w:numPr>
          <w:ilvl w:val="0"/>
          <w:numId w:val="6"/>
        </w:numPr>
        <w:rPr>
          <w:rFonts w:eastAsia="Aptos"/>
        </w:rPr>
      </w:pPr>
      <w:r>
        <w:rPr>
          <w:rFonts w:eastAsia="Aptos"/>
        </w:rPr>
        <w:t>GitHub Apps/webhooks/deploy keys.</w:t>
      </w:r>
    </w:p>
    <w:p>
      <w:pPr>
        <w:pStyle w:val="ListParagraph"/>
        <w:numPr>
          <w:ilvl w:val="0"/>
          <w:numId w:val="6"/>
        </w:numPr>
        <w:rPr>
          <w:rFonts w:eastAsia="Aptos"/>
        </w:rPr>
      </w:pPr>
      <w:r>
        <w:rPr>
          <w:rFonts w:eastAsia="Aptos"/>
        </w:rPr>
        <w:t>OIDC or service-principal authentication.</w:t>
      </w:r>
    </w:p>
    <w:p>
      <w:pPr>
        <w:pStyle w:val="ListParagraph"/>
        <w:numPr>
          <w:ilvl w:val="0"/>
          <w:numId w:val="6"/>
        </w:numPr>
        <w:rPr>
          <w:rFonts w:eastAsia="Aptos"/>
        </w:rPr>
      </w:pPr>
      <w:r>
        <w:rPr>
          <w:rFonts w:eastAsia="Aptos"/>
        </w:rPr>
        <w:t>Repositories with known manual migration gaps.</w:t>
      </w:r>
    </w:p>
    <w:p>
      <w:pPr>
        <w:pStyle w:val="Heading3"/>
        <w:rPr/>
      </w:pPr>
      <w:bookmarkStart w:id="51" w:name="__RefHeading___Toc2436_3011997666"/>
      <w:bookmarkStart w:id="52" w:name="_Toc238535936"/>
      <w:bookmarkEnd w:id="51"/>
      <w:r>
        <w:rPr/>
        <w:t>10.3 Measurable Success Criteria and Test Metrics</w:t>
      </w:r>
      <w:bookmarkEnd w:id="52"/>
    </w:p>
    <w:p>
      <w:pPr>
        <w:pStyle w:val="Normal"/>
        <w:rPr/>
      </w:pPr>
      <w:r>
        <w:rPr>
          <w:rFonts w:eastAsia="Aptos" w:cs="Aptos"/>
          <w:szCs w:val="20"/>
        </w:rPr>
        <w:t>The following measures provide an objective view of Full Migration Test completion and readiness. Actual values are captured in the Full Migration Test Report.</w:t>
      </w:r>
    </w:p>
    <w:tbl>
      <w:tblPr>
        <w:tblStyle w:val="TableGrid"/>
        <w:tblW w:w="106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5328"/>
        <w:gridCol w:w="2448"/>
      </w:tblGrid>
      <w:tr>
        <w:trPr>
          <w:trHeight w:val="300" w:hRule="atLeast"/>
        </w:trPr>
        <w:tc>
          <w:tcPr>
            <w:tcW w:w="2880"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left"/>
              <w:rPr>
                <w:rFonts w:ascii="Aptos" w:hAnsi="Aptos"/>
                <w:lang w:val="en-US" w:eastAsia="en-US" w:bidi="ar-SA"/>
              </w:rPr>
            </w:pPr>
            <w:r>
              <w:rPr>
                <w:rFonts w:eastAsia="Aptos" w:cs="Aptos"/>
                <w:b/>
                <w:bCs/>
                <w:color w:themeColor="text1" w:val="000000"/>
                <w:szCs w:val="20"/>
                <w:lang w:val="en-US" w:eastAsia="en-US" w:bidi="ar-SA"/>
              </w:rPr>
              <w:t>Metric</w:t>
            </w:r>
          </w:p>
        </w:tc>
        <w:tc>
          <w:tcPr>
            <w:tcW w:w="5328"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left"/>
              <w:rPr>
                <w:rFonts w:ascii="Aptos" w:hAnsi="Aptos"/>
                <w:lang w:val="en-US" w:eastAsia="en-US" w:bidi="ar-SA"/>
              </w:rPr>
            </w:pPr>
            <w:r>
              <w:rPr>
                <w:rFonts w:eastAsia="Aptos" w:cs="Aptos"/>
                <w:b/>
                <w:bCs/>
                <w:color w:themeColor="text1" w:val="000000"/>
                <w:szCs w:val="20"/>
                <w:lang w:val="en-US" w:eastAsia="en-US" w:bidi="ar-SA"/>
              </w:rPr>
              <w:t>Success criterion</w:t>
            </w:r>
          </w:p>
        </w:tc>
        <w:tc>
          <w:tcPr>
            <w:tcW w:w="2448"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left"/>
              <w:rPr>
                <w:rFonts w:ascii="Aptos" w:hAnsi="Aptos"/>
                <w:lang w:val="en-US" w:eastAsia="en-US" w:bidi="ar-SA"/>
              </w:rPr>
            </w:pPr>
            <w:r>
              <w:rPr>
                <w:rFonts w:eastAsia="Aptos" w:cs="Aptos"/>
                <w:b/>
                <w:bCs/>
                <w:color w:themeColor="text1" w:val="000000"/>
                <w:szCs w:val="20"/>
                <w:lang w:val="en-US" w:eastAsia="en-US" w:bidi="ar-SA"/>
              </w:rPr>
              <w:t>Evidence</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Repository migration accounting</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100% of in-scope repositories have a PASS / FAIL / EXCEPTION result.</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GEI logs + migration report</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Critical runner patterns</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100% of required public/private/self-hosted runner patterns tested.</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Workflow run evidence</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Developer functional tests</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100% of planned test cases executed or formally deferred with reason.</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Developer Functional Test Matrix</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Critical defects</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0 unresolved Critical defects at Exit Gate.</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Defect register</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High defects</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Resolved/retested or explicitly accepted with owner and production action.</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Defect register / approval</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Custom/manual migration activities</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100% of applicable activities have a recorded result and evidence.</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Script logs + remediation checklist</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Migration evidence</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100% of required migration/test evidence retained.</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Evidence package</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Full migration duration</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Actual duration recorded and compared with the ~24-hour estimate.</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Workflow timestamps / test report</w:t>
            </w:r>
          </w:p>
        </w:tc>
      </w:tr>
      <w:tr>
        <w:trPr>
          <w:trHeight w:val="300" w:hRule="atLeast"/>
        </w:trPr>
        <w:tc>
          <w:tcPr>
            <w:tcW w:w="288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Exit status</w:t>
            </w:r>
          </w:p>
        </w:tc>
        <w:tc>
          <w:tcPr>
            <w:tcW w:w="53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READY, READY WITH CONDITIONS, or NOT READY formally recorded.</w:t>
            </w:r>
          </w:p>
        </w:tc>
        <w:tc>
          <w:tcPr>
            <w:tcW w:w="244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Exit Gate decision</w:t>
            </w:r>
          </w:p>
        </w:tc>
      </w:tr>
    </w:tbl>
    <w:p>
      <w:pPr>
        <w:pStyle w:val="Heading2"/>
        <w:numPr>
          <w:ilvl w:val="0"/>
          <w:numId w:val="13"/>
        </w:numPr>
        <w:ind w:hanging="0" w:left="180"/>
        <w:rPr/>
      </w:pPr>
      <w:bookmarkStart w:id="53" w:name="__RefHeading___Toc2438_3011997666"/>
      <w:bookmarkStart w:id="54" w:name="_Toc238535937"/>
      <w:bookmarkEnd w:id="53"/>
      <w:r>
        <w:rPr/>
        <w:t>HS Developer Functional Test</w:t>
      </w:r>
      <w:bookmarkEnd w:id="54"/>
    </w:p>
    <w:p>
      <w:pPr>
        <w:pStyle w:val="Normal"/>
        <w:rPr/>
      </w:pPr>
      <w:r>
        <w:rPr>
          <w:rFonts w:eastAsia="Aptos" w:cs="Aptos"/>
          <w:szCs w:val="20"/>
        </w:rPr>
        <w:t>A controlled group of HS developers should test the HCSC test organization after technical validation. They should use actual migrated repositories relevant to their work.</w:t>
      </w:r>
    </w:p>
    <w:p>
      <w:pPr>
        <w:pStyle w:val="ListParagraph"/>
        <w:numPr>
          <w:ilvl w:val="0"/>
          <w:numId w:val="7"/>
        </w:numPr>
        <w:rPr>
          <w:rFonts w:eastAsia="Aptos"/>
        </w:rPr>
      </w:pPr>
      <w:r>
        <w:rPr>
          <w:rFonts w:eastAsia="Aptos"/>
        </w:rPr>
        <w:t>Authenticate and access the HCSC test organization with existing individual accounts.</w:t>
      </w:r>
    </w:p>
    <w:p>
      <w:pPr>
        <w:pStyle w:val="ListParagraph"/>
        <w:numPr>
          <w:ilvl w:val="0"/>
          <w:numId w:val="7"/>
        </w:numPr>
        <w:rPr>
          <w:rFonts w:eastAsia="Aptos"/>
        </w:rPr>
      </w:pPr>
      <w:r>
        <w:rPr>
          <w:rFonts w:eastAsia="Aptos"/>
        </w:rPr>
        <w:t>Confirm expected repository visibility and permissions.</w:t>
      </w:r>
    </w:p>
    <w:p>
      <w:pPr>
        <w:pStyle w:val="ListParagraph"/>
        <w:numPr>
          <w:ilvl w:val="0"/>
          <w:numId w:val="7"/>
        </w:numPr>
        <w:rPr>
          <w:rFonts w:eastAsia="Aptos"/>
        </w:rPr>
      </w:pPr>
      <w:r>
        <w:rPr>
          <w:rFonts w:eastAsia="Aptos"/>
        </w:rPr>
        <w:t>Clone/fetch a migrated repository.</w:t>
      </w:r>
    </w:p>
    <w:p>
      <w:pPr>
        <w:pStyle w:val="ListParagraph"/>
        <w:numPr>
          <w:ilvl w:val="0"/>
          <w:numId w:val="7"/>
        </w:numPr>
        <w:rPr>
          <w:rFonts w:eastAsia="Aptos"/>
        </w:rPr>
      </w:pPr>
      <w:r>
        <w:rPr>
          <w:rFonts w:eastAsia="Aptos"/>
        </w:rPr>
        <w:t>Create a test branch, commit and push.</w:t>
      </w:r>
    </w:p>
    <w:p>
      <w:pPr>
        <w:pStyle w:val="ListParagraph"/>
        <w:numPr>
          <w:ilvl w:val="0"/>
          <w:numId w:val="7"/>
        </w:numPr>
        <w:rPr>
          <w:rFonts w:eastAsia="Aptos"/>
        </w:rPr>
      </w:pPr>
      <w:r>
        <w:rPr>
          <w:rFonts w:eastAsia="Aptos"/>
        </w:rPr>
        <w:t>Create and review a pull request where permitted.</w:t>
      </w:r>
    </w:p>
    <w:p>
      <w:pPr>
        <w:pStyle w:val="ListParagraph"/>
        <w:numPr>
          <w:ilvl w:val="0"/>
          <w:numId w:val="7"/>
        </w:numPr>
        <w:rPr>
          <w:rFonts w:eastAsia="Aptos"/>
        </w:rPr>
      </w:pPr>
      <w:r>
        <w:rPr>
          <w:rFonts w:eastAsia="Aptos"/>
        </w:rPr>
        <w:t>Trigger representative GitHub Actions workflows.</w:t>
      </w:r>
    </w:p>
    <w:p>
      <w:pPr>
        <w:pStyle w:val="ListParagraph"/>
        <w:numPr>
          <w:ilvl w:val="0"/>
          <w:numId w:val="7"/>
        </w:numPr>
        <w:rPr>
          <w:rFonts w:eastAsia="Aptos"/>
        </w:rPr>
      </w:pPr>
      <w:r>
        <w:rPr>
          <w:rFonts w:eastAsia="Aptos"/>
        </w:rPr>
        <w:t>Confirm that the expected runner group/label is selected.</w:t>
      </w:r>
    </w:p>
    <w:p>
      <w:pPr>
        <w:pStyle w:val="ListParagraph"/>
        <w:numPr>
          <w:ilvl w:val="0"/>
          <w:numId w:val="7"/>
        </w:numPr>
        <w:rPr>
          <w:rFonts w:eastAsia="Aptos"/>
        </w:rPr>
      </w:pPr>
      <w:r>
        <w:rPr>
          <w:rFonts w:eastAsia="Aptos"/>
        </w:rPr>
        <w:t>Confirm private network workflows reach required internal services.</w:t>
      </w:r>
    </w:p>
    <w:p>
      <w:pPr>
        <w:pStyle w:val="ListParagraph"/>
        <w:numPr>
          <w:ilvl w:val="0"/>
          <w:numId w:val="7"/>
        </w:numPr>
        <w:rPr>
          <w:rFonts w:eastAsia="Aptos"/>
        </w:rPr>
      </w:pPr>
      <w:r>
        <w:rPr>
          <w:rFonts w:eastAsia="Aptos"/>
        </w:rPr>
        <w:t>Confirm workflows can consume restored test secrets and required packages.</w:t>
      </w:r>
    </w:p>
    <w:p>
      <w:pPr>
        <w:pStyle w:val="ListParagraph"/>
        <w:numPr>
          <w:ilvl w:val="0"/>
          <w:numId w:val="7"/>
        </w:numPr>
        <w:rPr>
          <w:rFonts w:eastAsia="Aptos"/>
        </w:rPr>
      </w:pPr>
      <w:r>
        <w:rPr>
          <w:rFonts w:eastAsia="Aptos"/>
        </w:rPr>
        <w:t>Validate reusable workflow/action references.</w:t>
      </w:r>
    </w:p>
    <w:p>
      <w:pPr>
        <w:pStyle w:val="ListParagraph"/>
        <w:numPr>
          <w:ilvl w:val="0"/>
          <w:numId w:val="7"/>
        </w:numPr>
        <w:rPr>
          <w:rFonts w:eastAsia="Aptos"/>
        </w:rPr>
      </w:pPr>
      <w:r>
        <w:rPr>
          <w:rFonts w:eastAsia="Aptos"/>
        </w:rPr>
        <w:t>Validate environment approvals and deployment controls where applicable.</w:t>
      </w:r>
    </w:p>
    <w:p>
      <w:pPr>
        <w:pStyle w:val="ListParagraph"/>
        <w:numPr>
          <w:ilvl w:val="0"/>
          <w:numId w:val="7"/>
        </w:numPr>
        <w:rPr>
          <w:rFonts w:eastAsia="Aptos"/>
        </w:rPr>
      </w:pPr>
      <w:r>
        <w:rPr>
          <w:rFonts w:eastAsia="Aptos"/>
        </w:rPr>
        <w:t>Validate representative external integrations/authentication.</w:t>
      </w:r>
    </w:p>
    <w:p>
      <w:pPr>
        <w:pStyle w:val="ListParagraph"/>
        <w:numPr>
          <w:ilvl w:val="0"/>
          <w:numId w:val="7"/>
        </w:numPr>
        <w:rPr>
          <w:rFonts w:eastAsia="Aptos"/>
        </w:rPr>
      </w:pPr>
      <w:r>
        <w:rPr>
          <w:rFonts w:eastAsia="Aptos"/>
        </w:rPr>
        <w:t>Record PASS/FAIL, evidence and comments for each test.</w:t>
      </w:r>
    </w:p>
    <w:p>
      <w:pPr>
        <w:pStyle w:val="Normal"/>
        <w:rPr/>
      </w:pPr>
      <w:r>
        <w:rPr>
          <w:rFonts w:eastAsia="Aptos" w:cs="Aptos"/>
          <w:szCs w:val="20"/>
        </w:rPr>
        <w:t>The matrix below records which migrated repositories/workflows are tested by HS developers, who perform each test, the expected result, estimated execution time and result.</w:t>
      </w:r>
    </w:p>
    <w:tbl>
      <w:tblPr>
        <w:tblStyle w:val="TableGrid"/>
        <w:tblW w:w="10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4"/>
        <w:gridCol w:w="1728"/>
        <w:gridCol w:w="1733"/>
        <w:gridCol w:w="2138"/>
        <w:gridCol w:w="1724"/>
        <w:gridCol w:w="1722"/>
      </w:tblGrid>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Test</w:t>
            </w:r>
          </w:p>
        </w:tc>
        <w:tc>
          <w:tcPr>
            <w:tcW w:w="172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Repository / Workflow</w:t>
            </w:r>
          </w:p>
        </w:tc>
        <w:tc>
          <w:tcPr>
            <w:tcW w:w="173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Responsible</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Expected Result</w:t>
            </w:r>
          </w:p>
        </w:tc>
        <w:tc>
          <w:tcPr>
            <w:tcW w:w="17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Est. Time</w:t>
            </w:r>
          </w:p>
        </w:tc>
        <w:tc>
          <w:tcPr>
            <w:tcW w:w="1722"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Result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Repository access</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Correct access/permissions</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Clone / fetch / push</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Git operations succeed</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Pull request</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PR can be created/reviewed</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Production self-hosted runner</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Workflow runs on cloned PROD VM</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Dev self-hosted runner</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Workflow runs on cloned DEV VM</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Private runner</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Workflow executes using private connectivity</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Secrets / packages</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Required dependencies are consumed</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Internal connectivity</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Required HS/internal endpoint reachable</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r>
        <w:trPr>
          <w:trHeight w:val="300" w:hRule="atLeast"/>
        </w:trPr>
        <w:tc>
          <w:tcPr>
            <w:tcW w:w="173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Environment / integration</w:t>
            </w:r>
          </w:p>
        </w:tc>
        <w:tc>
          <w:tcPr>
            <w:tcW w:w="1728"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33"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2138"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Expected controls/integration work</w:t>
            </w:r>
          </w:p>
        </w:tc>
        <w:tc>
          <w:tcPr>
            <w:tcW w:w="1724"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c>
          <w:tcPr>
            <w:tcW w:w="1722"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&lt;to be defined&gt;</w:t>
            </w:r>
          </w:p>
        </w:tc>
      </w:tr>
    </w:tbl>
    <w:p>
      <w:pPr>
        <w:pStyle w:val="Heading2"/>
        <w:numPr>
          <w:ilvl w:val="0"/>
          <w:numId w:val="13"/>
        </w:numPr>
        <w:ind w:hanging="0" w:left="180"/>
        <w:rPr/>
      </w:pPr>
      <w:bookmarkStart w:id="55" w:name="__RefHeading___Toc2440_3011997666"/>
      <w:bookmarkStart w:id="56" w:name="_Toc238535938"/>
      <w:bookmarkEnd w:id="55"/>
      <w:r>
        <w:rPr/>
        <w:t>Logging and Evidence</w:t>
      </w:r>
      <w:bookmarkEnd w:id="56"/>
    </w:p>
    <w:p>
      <w:pPr>
        <w:pStyle w:val="ListParagraph"/>
        <w:numPr>
          <w:ilvl w:val="0"/>
          <w:numId w:val="8"/>
        </w:numPr>
        <w:rPr>
          <w:rFonts w:eastAsia="Aptos"/>
        </w:rPr>
      </w:pPr>
      <w:r>
        <w:rPr>
          <w:rFonts w:eastAsia="Aptos"/>
        </w:rPr>
        <w:t>GitHub Actions workflow runs IDs and logs.</w:t>
      </w:r>
    </w:p>
    <w:p>
      <w:pPr>
        <w:pStyle w:val="ListParagraph"/>
        <w:numPr>
          <w:ilvl w:val="0"/>
          <w:numId w:val="8"/>
        </w:numPr>
        <w:rPr>
          <w:rFonts w:eastAsia="Aptos"/>
        </w:rPr>
      </w:pPr>
      <w:r>
        <w:rPr>
          <w:rFonts w:eastAsia="Aptos"/>
        </w:rPr>
        <w:t>GEI migration IDs and logs.</w:t>
      </w:r>
    </w:p>
    <w:p>
      <w:pPr>
        <w:pStyle w:val="ListParagraph"/>
        <w:numPr>
          <w:ilvl w:val="0"/>
          <w:numId w:val="8"/>
        </w:numPr>
        <w:rPr>
          <w:rFonts w:eastAsia="Aptos"/>
        </w:rPr>
      </w:pPr>
      <w:r>
        <w:rPr>
          <w:rFonts w:eastAsia="Aptos"/>
        </w:rPr>
        <w:t>Source and destination repository inventory snapshots.</w:t>
      </w:r>
    </w:p>
    <w:p>
      <w:pPr>
        <w:pStyle w:val="ListParagraph"/>
        <w:numPr>
          <w:ilvl w:val="0"/>
          <w:numId w:val="8"/>
        </w:numPr>
        <w:rPr>
          <w:rFonts w:eastAsia="Aptos"/>
        </w:rPr>
      </w:pPr>
      <w:r>
        <w:rPr>
          <w:rFonts w:eastAsia="Aptos"/>
        </w:rPr>
        <w:t>Custom-script logs for secrets, packages and configurations.</w:t>
      </w:r>
    </w:p>
    <w:p>
      <w:pPr>
        <w:pStyle w:val="ListParagraph"/>
        <w:numPr>
          <w:ilvl w:val="0"/>
          <w:numId w:val="8"/>
        </w:numPr>
        <w:rPr>
          <w:rFonts w:eastAsia="Aptos"/>
        </w:rPr>
      </w:pPr>
      <w:r>
        <w:rPr>
          <w:rFonts w:eastAsia="Aptos"/>
        </w:rPr>
        <w:t>GitHub API warnings/errors and rate-limit events.</w:t>
      </w:r>
    </w:p>
    <w:p>
      <w:pPr>
        <w:pStyle w:val="ListParagraph"/>
        <w:numPr>
          <w:ilvl w:val="0"/>
          <w:numId w:val="8"/>
        </w:numPr>
        <w:rPr>
          <w:rFonts w:eastAsia="Aptos"/>
        </w:rPr>
      </w:pPr>
      <w:r>
        <w:rPr>
          <w:rFonts w:eastAsia="Aptos"/>
        </w:rPr>
        <w:t>Runner registration/readiness and workflow scheduling evidence.</w:t>
      </w:r>
    </w:p>
    <w:p>
      <w:pPr>
        <w:pStyle w:val="ListParagraph"/>
        <w:numPr>
          <w:ilvl w:val="0"/>
          <w:numId w:val="8"/>
        </w:numPr>
        <w:rPr>
          <w:rFonts w:eastAsia="Aptos"/>
        </w:rPr>
      </w:pPr>
      <w:r>
        <w:rPr>
          <w:rFonts w:eastAsia="Aptos"/>
        </w:rPr>
        <w:t>Private network connectivity test evidence.</w:t>
      </w:r>
    </w:p>
    <w:p>
      <w:pPr>
        <w:pStyle w:val="ListParagraph"/>
        <w:numPr>
          <w:ilvl w:val="0"/>
          <w:numId w:val="8"/>
        </w:numPr>
        <w:rPr>
          <w:rFonts w:eastAsia="Aptos"/>
        </w:rPr>
      </w:pPr>
      <w:r>
        <w:rPr>
          <w:rFonts w:eastAsia="Aptos"/>
        </w:rPr>
        <w:t>IAM/access reconciliation evidence.</w:t>
      </w:r>
    </w:p>
    <w:p>
      <w:pPr>
        <w:pStyle w:val="ListParagraph"/>
        <w:numPr>
          <w:ilvl w:val="0"/>
          <w:numId w:val="8"/>
        </w:numPr>
        <w:rPr>
          <w:rFonts w:eastAsia="Aptos"/>
        </w:rPr>
      </w:pPr>
      <w:r>
        <w:rPr>
          <w:rFonts w:eastAsia="Aptos"/>
        </w:rPr>
        <w:t>HS developer UAT results.</w:t>
      </w:r>
    </w:p>
    <w:p>
      <w:pPr>
        <w:pStyle w:val="ListParagraph"/>
        <w:numPr>
          <w:ilvl w:val="0"/>
          <w:numId w:val="8"/>
        </w:numPr>
        <w:rPr>
          <w:rFonts w:eastAsia="Aptos"/>
        </w:rPr>
      </w:pPr>
      <w:r>
        <w:rPr>
          <w:rFonts w:eastAsia="Aptos"/>
        </w:rPr>
        <w:t>Manual remediation checklist and operator evidence.</w:t>
      </w:r>
    </w:p>
    <w:p>
      <w:pPr>
        <w:pStyle w:val="ListParagraph"/>
        <w:numPr>
          <w:ilvl w:val="0"/>
          <w:numId w:val="8"/>
        </w:numPr>
        <w:rPr>
          <w:rFonts w:eastAsia="Aptos"/>
        </w:rPr>
      </w:pPr>
      <w:r>
        <w:rPr>
          <w:rFonts w:eastAsia="Aptos"/>
        </w:rPr>
        <w:t>Defect records, root-cause notes, fixes and retest evidence.</w:t>
      </w:r>
    </w:p>
    <w:p>
      <w:pPr>
        <w:pStyle w:val="ListParagraph"/>
        <w:numPr>
          <w:ilvl w:val="0"/>
          <w:numId w:val="8"/>
        </w:numPr>
        <w:rPr>
          <w:rFonts w:eastAsia="Aptos"/>
        </w:rPr>
      </w:pPr>
      <w:r>
        <w:rPr>
          <w:rFonts w:eastAsia="Aptos"/>
        </w:rPr>
        <w:t>Execution duration by major stage.</w:t>
      </w:r>
    </w:p>
    <w:p>
      <w:pPr>
        <w:pStyle w:val="ListParagraph"/>
        <w:numPr>
          <w:ilvl w:val="0"/>
          <w:numId w:val="8"/>
        </w:numPr>
        <w:rPr>
          <w:rFonts w:eastAsia="Aptos"/>
        </w:rPr>
      </w:pPr>
      <w:r>
        <w:rPr>
          <w:rFonts w:eastAsia="Aptos"/>
        </w:rPr>
        <w:t>Final source-vs-target reconciliation report.</w:t>
      </w:r>
    </w:p>
    <w:p>
      <w:pPr>
        <w:pStyle w:val="Heading2"/>
        <w:numPr>
          <w:ilvl w:val="0"/>
          <w:numId w:val="13"/>
        </w:numPr>
        <w:ind w:hanging="0" w:left="180"/>
        <w:rPr/>
      </w:pPr>
      <w:bookmarkStart w:id="57" w:name="__RefHeading___Toc2442_3011997666"/>
      <w:bookmarkStart w:id="58" w:name="_Toc238535939"/>
      <w:bookmarkEnd w:id="57"/>
      <w:r>
        <w:rPr/>
        <w:t>Defect Management and Retest</w:t>
      </w:r>
      <w:bookmarkEnd w:id="58"/>
    </w:p>
    <w:tbl>
      <w:tblPr>
        <w:tblStyle w:val="TableGrid"/>
        <w:tblW w:w="10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65"/>
        <w:gridCol w:w="6247"/>
        <w:gridCol w:w="2968"/>
      </w:tblGrid>
      <w:tr>
        <w:trPr>
          <w:trHeight w:val="300" w:hRule="atLeast"/>
        </w:trPr>
        <w:tc>
          <w:tcPr>
            <w:tcW w:w="1565"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center"/>
              <w:rPr>
                <w:rFonts w:ascii="Aptos" w:hAnsi="Aptos"/>
                <w:lang w:val="en-US" w:eastAsia="en-US" w:bidi="ar-SA"/>
              </w:rPr>
            </w:pPr>
            <w:r>
              <w:rPr>
                <w:rFonts w:eastAsia="Aptos" w:cs="Aptos"/>
                <w:b/>
                <w:bCs/>
                <w:color w:themeColor="text1" w:val="000000"/>
                <w:sz w:val="18"/>
                <w:szCs w:val="18"/>
                <w:lang w:val="en-US" w:eastAsia="en-US" w:bidi="ar-SA"/>
              </w:rPr>
              <w:t>Severity</w:t>
            </w:r>
          </w:p>
        </w:tc>
        <w:tc>
          <w:tcPr>
            <w:tcW w:w="6247"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center"/>
              <w:rPr>
                <w:rFonts w:ascii="Aptos" w:hAnsi="Aptos"/>
                <w:lang w:val="en-US" w:eastAsia="en-US" w:bidi="ar-SA"/>
              </w:rPr>
            </w:pPr>
            <w:r>
              <w:rPr>
                <w:rFonts w:eastAsia="Aptos" w:cs="Aptos"/>
                <w:b/>
                <w:bCs/>
                <w:color w:themeColor="text1" w:val="000000"/>
                <w:sz w:val="18"/>
                <w:szCs w:val="18"/>
                <w:lang w:val="en-US" w:eastAsia="en-US" w:bidi="ar-SA"/>
              </w:rPr>
              <w:t>Definition</w:t>
            </w:r>
          </w:p>
        </w:tc>
        <w:tc>
          <w:tcPr>
            <w:tcW w:w="2968" w:type="dxa"/>
            <w:tcBorders>
              <w:top w:val="single" w:sz="8" w:space="0" w:color="000000"/>
              <w:left w:val="single" w:sz="8" w:space="0" w:color="000000"/>
              <w:bottom w:val="single" w:sz="8" w:space="0" w:color="000000"/>
              <w:right w:val="single" w:sz="8" w:space="0" w:color="000000"/>
            </w:tcBorders>
            <w:shd w:color="auto" w:fill="D9EAF7" w:val="clear"/>
            <w:vAlign w:val="center"/>
          </w:tcPr>
          <w:p>
            <w:pPr>
              <w:pStyle w:val="Normal"/>
              <w:widowControl/>
              <w:spacing w:before="0" w:after="0"/>
              <w:jc w:val="center"/>
              <w:rPr>
                <w:rFonts w:ascii="Aptos" w:hAnsi="Aptos"/>
                <w:lang w:val="en-US" w:eastAsia="en-US" w:bidi="ar-SA"/>
              </w:rPr>
            </w:pPr>
            <w:r>
              <w:rPr>
                <w:rFonts w:eastAsia="Aptos" w:cs="Aptos"/>
                <w:b/>
                <w:bCs/>
                <w:color w:themeColor="text1" w:val="000000"/>
                <w:sz w:val="18"/>
                <w:szCs w:val="18"/>
                <w:lang w:val="en-US" w:eastAsia="en-US" w:bidi="ar-SA"/>
              </w:rPr>
              <w:t>Effect</w:t>
            </w:r>
          </w:p>
        </w:tc>
      </w:tr>
      <w:tr>
        <w:trPr>
          <w:trHeight w:val="525" w:hRule="atLeast"/>
        </w:trPr>
        <w:tc>
          <w:tcPr>
            <w:tcW w:w="1565"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right"/>
              <w:rPr>
                <w:rFonts w:ascii="Aptos" w:hAnsi="Aptos"/>
                <w:lang w:val="en-US" w:eastAsia="en-US" w:bidi="ar-SA"/>
              </w:rPr>
            </w:pPr>
            <w:r>
              <w:rPr>
                <w:rFonts w:eastAsia="Aptos" w:cs="Aptos"/>
                <w:sz w:val="17"/>
                <w:szCs w:val="17"/>
                <w:lang w:val="en-US" w:eastAsia="en-US" w:bidi="ar-SA"/>
              </w:rPr>
              <w:t>Critical</w:t>
            </w:r>
          </w:p>
        </w:tc>
        <w:tc>
          <w:tcPr>
            <w:tcW w:w="624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Data loss, systemic access/security failure, or condition that makes final migration unsafe.</w:t>
            </w:r>
          </w:p>
        </w:tc>
        <w:tc>
          <w:tcPr>
            <w:tcW w:w="296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Blocks readiness.</w:t>
            </w:r>
          </w:p>
        </w:tc>
      </w:tr>
      <w:tr>
        <w:trPr>
          <w:trHeight w:val="300" w:hRule="atLeast"/>
        </w:trPr>
        <w:tc>
          <w:tcPr>
            <w:tcW w:w="1565"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right"/>
              <w:rPr>
                <w:rFonts w:ascii="Aptos" w:hAnsi="Aptos"/>
                <w:lang w:val="en-US" w:eastAsia="en-US" w:bidi="ar-SA"/>
              </w:rPr>
            </w:pPr>
            <w:r>
              <w:rPr>
                <w:rFonts w:eastAsia="Aptos" w:cs="Aptos"/>
                <w:sz w:val="17"/>
                <w:szCs w:val="17"/>
                <w:lang w:val="en-US" w:eastAsia="en-US" w:bidi="ar-SA"/>
              </w:rPr>
              <w:t>High</w:t>
            </w:r>
          </w:p>
        </w:tc>
        <w:tc>
          <w:tcPr>
            <w:tcW w:w="624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Critical workload/repository/runner/integration unusable without acceptable workaround.</w:t>
            </w:r>
          </w:p>
        </w:tc>
        <w:tc>
          <w:tcPr>
            <w:tcW w:w="296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Blocks affected scope unless formally accepted.</w:t>
            </w:r>
          </w:p>
        </w:tc>
      </w:tr>
      <w:tr>
        <w:trPr>
          <w:trHeight w:val="300" w:hRule="atLeast"/>
        </w:trPr>
        <w:tc>
          <w:tcPr>
            <w:tcW w:w="1565"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right"/>
              <w:rPr>
                <w:rFonts w:ascii="Aptos" w:hAnsi="Aptos"/>
                <w:lang w:val="en-US" w:eastAsia="en-US" w:bidi="ar-SA"/>
              </w:rPr>
            </w:pPr>
            <w:r>
              <w:rPr>
                <w:rFonts w:eastAsia="Aptos" w:cs="Aptos"/>
                <w:sz w:val="17"/>
                <w:szCs w:val="17"/>
                <w:lang w:val="en-US" w:eastAsia="en-US" w:bidi="ar-SA"/>
              </w:rPr>
              <w:t>Medium</w:t>
            </w:r>
          </w:p>
        </w:tc>
        <w:tc>
          <w:tcPr>
            <w:tcW w:w="624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Non-critical issues with workaround and owned remediation.</w:t>
            </w:r>
          </w:p>
        </w:tc>
        <w:tc>
          <w:tcPr>
            <w:tcW w:w="296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May proceed with condition.</w:t>
            </w:r>
          </w:p>
        </w:tc>
      </w:tr>
      <w:tr>
        <w:trPr>
          <w:trHeight w:val="300" w:hRule="atLeast"/>
        </w:trPr>
        <w:tc>
          <w:tcPr>
            <w:tcW w:w="1565"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right"/>
              <w:rPr>
                <w:rFonts w:ascii="Aptos" w:hAnsi="Aptos"/>
                <w:lang w:val="en-US" w:eastAsia="en-US" w:bidi="ar-SA"/>
              </w:rPr>
            </w:pPr>
            <w:r>
              <w:rPr>
                <w:rFonts w:eastAsia="Aptos" w:cs="Aptos"/>
                <w:sz w:val="17"/>
                <w:szCs w:val="17"/>
                <w:lang w:val="en-US" w:eastAsia="en-US" w:bidi="ar-SA"/>
              </w:rPr>
              <w:t>Low</w:t>
            </w:r>
          </w:p>
        </w:tc>
        <w:tc>
          <w:tcPr>
            <w:tcW w:w="6247"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Minor/cosmetic/non-operational issues.</w:t>
            </w:r>
          </w:p>
        </w:tc>
        <w:tc>
          <w:tcPr>
            <w:tcW w:w="2968" w:type="dxa"/>
            <w:tcBorders>
              <w:top w:val="single" w:sz="8" w:space="0" w:color="000000"/>
              <w:left w:val="single" w:sz="8" w:space="0" w:color="000000"/>
              <w:bottom w:val="single" w:sz="8" w:space="0" w:color="000000"/>
              <w:right w:val="single" w:sz="8" w:space="0" w:color="000000"/>
            </w:tcBorders>
            <w:vAlign w:val="center"/>
          </w:tcPr>
          <w:p>
            <w:pPr>
              <w:pStyle w:val="Normal"/>
              <w:widowControl/>
              <w:spacing w:before="0" w:after="0"/>
              <w:jc w:val="left"/>
              <w:rPr>
                <w:rFonts w:ascii="Aptos" w:hAnsi="Aptos"/>
                <w:lang w:val="en-US" w:eastAsia="en-US" w:bidi="ar-SA"/>
              </w:rPr>
            </w:pPr>
            <w:r>
              <w:rPr>
                <w:rFonts w:eastAsia="Aptos" w:cs="Aptos"/>
                <w:sz w:val="17"/>
                <w:szCs w:val="17"/>
                <w:lang w:val="en-US" w:eastAsia="en-US" w:bidi="ar-SA"/>
              </w:rPr>
              <w:t>Does not block readiness.</w:t>
            </w:r>
          </w:p>
        </w:tc>
      </w:tr>
    </w:tbl>
    <w:p>
      <w:pPr>
        <w:pStyle w:val="Normal"/>
        <w:rPr/>
      </w:pPr>
      <w:r>
        <w:rPr>
          <w:rFonts w:eastAsia="Aptos" w:cs="Aptos"/>
          <w:szCs w:val="20"/>
        </w:rPr>
        <w:t xml:space="preserve"> </w:t>
      </w:r>
    </w:p>
    <w:p>
      <w:pPr>
        <w:pStyle w:val="Normal"/>
        <w:rPr/>
      </w:pPr>
      <w:r>
        <w:rPr>
          <w:rFonts w:eastAsia="Aptos" w:cs="Aptos"/>
          <w:szCs w:val="20"/>
        </w:rPr>
        <w:t>Each defect should record repository/application, test step, expected result, actual result, log/evidence reference, severity, owner, root cause, corrective action, retest result and final status.</w:t>
      </w:r>
    </w:p>
    <w:p>
      <w:pPr>
        <w:pStyle w:val="Heading2"/>
        <w:numPr>
          <w:ilvl w:val="0"/>
          <w:numId w:val="13"/>
        </w:numPr>
        <w:ind w:hanging="0" w:left="180"/>
        <w:rPr/>
      </w:pPr>
      <w:bookmarkStart w:id="59" w:name="__RefHeading___Toc2444_3011997666"/>
      <w:bookmarkStart w:id="60" w:name="_Toc238535940"/>
      <w:bookmarkEnd w:id="59"/>
      <w:r>
        <w:rPr/>
        <w:t>Known Failure Scenarios to Exercise/Observe</w:t>
      </w:r>
      <w:bookmarkEnd w:id="60"/>
    </w:p>
    <w:p>
      <w:pPr>
        <w:pStyle w:val="ListParagraph"/>
        <w:numPr>
          <w:ilvl w:val="0"/>
          <w:numId w:val="9"/>
        </w:numPr>
        <w:rPr>
          <w:rFonts w:eastAsia="Aptos"/>
        </w:rPr>
      </w:pPr>
      <w:r>
        <w:rPr>
          <w:rFonts w:eastAsia="Aptos"/>
        </w:rPr>
        <w:t>GEI incomplete/missing repository behavior and safe rerun.</w:t>
      </w:r>
    </w:p>
    <w:p>
      <w:pPr>
        <w:pStyle w:val="ListParagraph"/>
        <w:numPr>
          <w:ilvl w:val="0"/>
          <w:numId w:val="9"/>
        </w:numPr>
        <w:rPr>
          <w:rFonts w:eastAsia="Aptos"/>
        </w:rPr>
      </w:pPr>
      <w:r>
        <w:rPr>
          <w:rFonts w:eastAsia="Aptos"/>
        </w:rPr>
        <w:t>API rate limiting / HTTP 502-503 retry behavior.</w:t>
      </w:r>
    </w:p>
    <w:p>
      <w:pPr>
        <w:pStyle w:val="ListParagraph"/>
        <w:numPr>
          <w:ilvl w:val="0"/>
          <w:numId w:val="9"/>
        </w:numPr>
        <w:rPr>
          <w:rFonts w:eastAsia="Aptos"/>
        </w:rPr>
      </w:pPr>
      <w:r>
        <w:rPr>
          <w:rFonts w:eastAsia="Aptos"/>
        </w:rPr>
        <w:t>Proxy/network failures to GitHub or migration archive endpoints.</w:t>
      </w:r>
    </w:p>
    <w:p>
      <w:pPr>
        <w:pStyle w:val="ListParagraph"/>
        <w:numPr>
          <w:ilvl w:val="0"/>
          <w:numId w:val="9"/>
        </w:numPr>
        <w:rPr>
          <w:rFonts w:eastAsia="Aptos"/>
        </w:rPr>
      </w:pPr>
      <w:r>
        <w:rPr>
          <w:rFonts w:eastAsia="Aptos"/>
        </w:rPr>
        <w:t>Expired/incorrect PAT scopes or SSO authorization.</w:t>
      </w:r>
    </w:p>
    <w:p>
      <w:pPr>
        <w:pStyle w:val="ListParagraph"/>
        <w:numPr>
          <w:ilvl w:val="0"/>
          <w:numId w:val="9"/>
        </w:numPr>
        <w:rPr>
          <w:rFonts w:eastAsia="Aptos"/>
        </w:rPr>
      </w:pPr>
      <w:r>
        <w:rPr>
          <w:rFonts w:eastAsia="Aptos"/>
        </w:rPr>
        <w:t>Ruleset/variable/custom-property replay warnings or conflicts.</w:t>
      </w:r>
    </w:p>
    <w:p>
      <w:pPr>
        <w:pStyle w:val="ListParagraph"/>
        <w:numPr>
          <w:ilvl w:val="0"/>
          <w:numId w:val="9"/>
        </w:numPr>
        <w:rPr>
          <w:rFonts w:eastAsia="Aptos"/>
        </w:rPr>
      </w:pPr>
      <w:r>
        <w:rPr>
          <w:rFonts w:eastAsia="Aptos"/>
        </w:rPr>
        <w:t>Missing destination secrets before CyberArk restoration.</w:t>
      </w:r>
    </w:p>
    <w:p>
      <w:pPr>
        <w:pStyle w:val="ListParagraph"/>
        <w:numPr>
          <w:ilvl w:val="0"/>
          <w:numId w:val="9"/>
        </w:numPr>
        <w:rPr>
          <w:rFonts w:eastAsia="Aptos"/>
        </w:rPr>
      </w:pPr>
      <w:r>
        <w:rPr>
          <w:rFonts w:eastAsia="Aptos"/>
        </w:rPr>
        <w:t>Runner label mismatch or unavailable runner.</w:t>
      </w:r>
    </w:p>
    <w:p>
      <w:pPr>
        <w:pStyle w:val="ListParagraph"/>
        <w:numPr>
          <w:ilvl w:val="0"/>
          <w:numId w:val="9"/>
        </w:numPr>
        <w:rPr>
          <w:rFonts w:eastAsia="Aptos"/>
        </w:rPr>
      </w:pPr>
      <w:r>
        <w:rPr>
          <w:rFonts w:eastAsia="Aptos"/>
        </w:rPr>
        <w:t>Private runner unable to reach internal dependency.</w:t>
      </w:r>
    </w:p>
    <w:p>
      <w:pPr>
        <w:pStyle w:val="ListParagraph"/>
        <w:numPr>
          <w:ilvl w:val="0"/>
          <w:numId w:val="9"/>
        </w:numPr>
        <w:rPr>
          <w:rFonts w:eastAsia="Aptos"/>
        </w:rPr>
      </w:pPr>
      <w:r>
        <w:rPr>
          <w:rFonts w:eastAsia="Aptos"/>
        </w:rPr>
        <w:t>Cross-org workflow reference still points to HS.</w:t>
      </w:r>
    </w:p>
    <w:p>
      <w:pPr>
        <w:pStyle w:val="ListParagraph"/>
        <w:numPr>
          <w:ilvl w:val="0"/>
          <w:numId w:val="9"/>
        </w:numPr>
        <w:rPr>
          <w:rFonts w:eastAsia="Aptos"/>
        </w:rPr>
      </w:pPr>
      <w:r>
        <w:rPr>
          <w:rFonts w:eastAsia="Aptos"/>
        </w:rPr>
        <w:t>OIDC subject/trust mismatch after org name changes.</w:t>
      </w:r>
    </w:p>
    <w:p>
      <w:pPr>
        <w:pStyle w:val="Heading3"/>
        <w:rPr/>
      </w:pPr>
      <w:bookmarkStart w:id="61" w:name="__RefHeading___Toc2446_3011997666"/>
      <w:bookmarkStart w:id="62" w:name="_Toc238535941"/>
      <w:bookmarkEnd w:id="61"/>
      <w:r>
        <w:rPr/>
        <w:t>14.1 Test Risks and Mitigations</w:t>
      </w:r>
      <w:bookmarkEnd w:id="62"/>
    </w:p>
    <w:p>
      <w:pPr>
        <w:pStyle w:val="Normal"/>
        <w:rPr/>
      </w:pPr>
      <w:r>
        <w:rPr>
          <w:rFonts w:eastAsia="Aptos" w:cs="Aptos"/>
          <w:szCs w:val="20"/>
        </w:rPr>
        <w:t>The following risks are monitored during preparation and execution. Owners should be confirmed before Day 0.</w:t>
      </w:r>
    </w:p>
    <w:tbl>
      <w:tblPr>
        <w:tblStyle w:val="TableGrid"/>
        <w:tblW w:w="104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30"/>
        <w:gridCol w:w="2553"/>
        <w:gridCol w:w="3647"/>
        <w:gridCol w:w="1824"/>
      </w:tblGrid>
      <w:tr>
        <w:trPr>
          <w:trHeight w:val="300" w:hRule="atLeast"/>
        </w:trPr>
        <w:tc>
          <w:tcPr>
            <w:tcW w:w="2430"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b/>
                <w:bCs/>
                <w:color w:themeColor="text1" w:val="000000"/>
                <w:szCs w:val="20"/>
                <w:lang w:val="en-US" w:eastAsia="en-US" w:bidi="ar-SA"/>
              </w:rPr>
              <w:t>Risk</w:t>
            </w:r>
          </w:p>
        </w:tc>
        <w:tc>
          <w:tcPr>
            <w:tcW w:w="2553"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b/>
                <w:bCs/>
                <w:color w:themeColor="text1" w:val="000000"/>
                <w:szCs w:val="20"/>
                <w:lang w:val="en-US" w:eastAsia="en-US" w:bidi="ar-SA"/>
              </w:rPr>
              <w:t>Impact</w:t>
            </w:r>
          </w:p>
        </w:tc>
        <w:tc>
          <w:tcPr>
            <w:tcW w:w="3647"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b/>
                <w:bCs/>
                <w:color w:themeColor="text1" w:val="000000"/>
                <w:szCs w:val="20"/>
                <w:lang w:val="en-US" w:eastAsia="en-US" w:bidi="ar-SA"/>
              </w:rPr>
              <w:t>Mitigation</w:t>
            </w:r>
          </w:p>
        </w:tc>
        <w:tc>
          <w:tcPr>
            <w:tcW w:w="1824" w:type="dxa"/>
            <w:tcBorders>
              <w:top w:val="single" w:sz="8" w:space="0" w:color="000000"/>
              <w:left w:val="single" w:sz="8" w:space="0" w:color="000000"/>
              <w:bottom w:val="single" w:sz="8" w:space="0" w:color="000000"/>
              <w:right w:val="single" w:sz="8" w:space="0" w:color="000000"/>
            </w:tcBorders>
            <w:shd w:color="auto" w:fill="D9EAF7" w:val="clear"/>
          </w:tcPr>
          <w:p>
            <w:pPr>
              <w:pStyle w:val="Normal"/>
              <w:widowControl/>
              <w:spacing w:before="0" w:after="0"/>
              <w:jc w:val="center"/>
              <w:rPr>
                <w:rFonts w:ascii="Aptos" w:hAnsi="Aptos"/>
                <w:lang w:val="en-US" w:eastAsia="en-US" w:bidi="ar-SA"/>
              </w:rPr>
            </w:pPr>
            <w:r>
              <w:rPr>
                <w:rFonts w:eastAsia="Aptos" w:cs="Aptos"/>
                <w:b/>
                <w:bCs/>
                <w:color w:themeColor="text1" w:val="000000"/>
                <w:szCs w:val="20"/>
                <w:lang w:val="en-US" w:eastAsia="en-US" w:bidi="ar-SA"/>
              </w:rPr>
              <w:t>Owner</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HCSC/HS network or infrastructure dependency not ready</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Test start or runner validation delayed.</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Complete connectivity and runner entry checks before GO/NO-GO; escalate unresolved dependency.</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HCSC/HS Infra &amp; Networking</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Cloned runner configuration differs from HS production/dev</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Representative workflows fail or provide misleading results.</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Compare OS, tools, labels, certificates, proxy and dependencies before registration.</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HS Infrastructure / GitHub Admin</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Unused VNet cannot reach required private dependencies</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Private-runner workflows fail.</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Precheck routing, DNS, firewall, proxy and required internal endpoints before migration.</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HCSC/HS Networking</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GEI/API rate limits, retry events or migration time exceeds estimate</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Migration exceeds test window.</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Monitor logs, use existing retry controls, capture actual timing, and reserve contingency.</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IAM/access not ready for selected developers</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Developer UAT cannot start.</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Provision and validate access before Day 0; keep test-user list and expected permissions.</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HCSC IAM</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Secrets, packages or integrations incomplete</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Representative workflows fail after repository migration.</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Execute remediation/validation before developer UAT and retest affected workflows.</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 + HCSC/HS SMEs</w:t>
            </w:r>
          </w:p>
        </w:tc>
      </w:tr>
      <w:tr>
        <w:trPr>
          <w:trHeight w:val="300" w:hRule="atLeast"/>
        </w:trPr>
        <w:tc>
          <w:tcPr>
            <w:tcW w:w="2430"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OIDC/external trust still references HS organization</w:t>
            </w:r>
          </w:p>
        </w:tc>
        <w:tc>
          <w:tcPr>
            <w:tcW w:w="2553"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Cloud authentication fails after migration.</w:t>
            </w:r>
          </w:p>
        </w:tc>
        <w:tc>
          <w:tcPr>
            <w:tcW w:w="3647"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Inventory affected workflows/trust relationships and update/retest destination trust configuration.</w:t>
            </w:r>
          </w:p>
        </w:tc>
        <w:tc>
          <w:tcPr>
            <w:tcW w:w="1824"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Application/IAM Owner</w:t>
            </w:r>
          </w:p>
        </w:tc>
      </w:tr>
    </w:tbl>
    <w:p>
      <w:pPr>
        <w:pStyle w:val="Heading2"/>
        <w:numPr>
          <w:ilvl w:val="0"/>
          <w:numId w:val="13"/>
        </w:numPr>
        <w:ind w:hanging="0" w:left="180"/>
        <w:rPr/>
      </w:pPr>
      <w:bookmarkStart w:id="63" w:name="__RefHeading___Toc2448_3011997666"/>
      <w:bookmarkStart w:id="64" w:name="_Toc238535942"/>
      <w:bookmarkEnd w:id="63"/>
      <w:r>
        <w:rPr/>
        <w:t>Full Test Timeline</w:t>
      </w:r>
      <w:bookmarkEnd w:id="64"/>
    </w:p>
    <w:p>
      <w:pPr>
        <w:pStyle w:val="Normal"/>
        <w:rPr/>
      </w:pPr>
      <w:r>
        <w:rPr>
          <w:rFonts w:eastAsia="Aptos" w:cs="Aptos"/>
          <w:szCs w:val="20"/>
        </w:rPr>
        <w:t>The Full Migration Test is planned as a simple five-day execution window. The full migration workflow itself is estimated to take approximately 24 hours; additional remediation/retest time may be required if blocking defects are found.</w:t>
      </w:r>
    </w:p>
    <w:tbl>
      <w:tblPr>
        <w:tblStyle w:val="TableGrid"/>
        <w:tblW w:w="1045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5"/>
        <w:gridCol w:w="3485"/>
        <w:gridCol w:w="3485"/>
      </w:tblGrid>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Day</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Main Activities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Owner / Time</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Day 0 - Readiness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Confirm temporary org, IAM, unused VNet, PROD/DEV cloned VMs, runner registration, credentials and GO/NO-GO.</w:t>
            </w:r>
          </w:p>
        </w:tc>
        <w:tc>
          <w:tcPr>
            <w:tcW w:w="348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OWNER=&lt;to be assigned&gt;</w:t>
            </w:r>
            <w:r>
              <w:rPr>
                <w:lang w:val="en-US" w:eastAsia="en-US" w:bidi="ar-SA"/>
              </w:rPr>
              <w:br/>
            </w:r>
            <w:r>
              <w:rPr>
                <w:rFonts w:eastAsia="Courier New" w:cs="Courier New" w:ascii="Courier New" w:hAnsi="Courier New"/>
                <w:color w:themeColor="text1" w:val="000000"/>
                <w:sz w:val="17"/>
                <w:szCs w:val="17"/>
                <w:lang w:val="en-US" w:eastAsia="en-US" w:bidi="ar-SA"/>
              </w:rPr>
              <w:t xml:space="preserve">  TIME=&lt;to be defined&gt;</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Day 1 - Full Migration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 xml:space="preserve">Capture source baseline, start full GEI migration for the complete repository inventory, </w:t>
            </w:r>
            <w:bookmarkStart w:id="65" w:name="_Int_l4BMY5nG"/>
            <w:r>
              <w:rPr>
                <w:rFonts w:eastAsia="Aptos" w:cs="Aptos"/>
                <w:szCs w:val="20"/>
                <w:lang w:val="en-US" w:eastAsia="en-US" w:bidi="ar-SA"/>
              </w:rPr>
              <w:t>monitor</w:t>
            </w:r>
            <w:bookmarkEnd w:id="65"/>
            <w:r>
              <w:rPr>
                <w:rFonts w:eastAsia="Aptos" w:cs="Aptos"/>
                <w:szCs w:val="20"/>
                <w:lang w:val="en-US" w:eastAsia="en-US" w:bidi="ar-SA"/>
              </w:rPr>
              <w:t xml:space="preserve"> and collect logs.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ELEKS</w:t>
            </w:r>
            <w:r>
              <w:rPr>
                <w:lang w:val="en-US" w:eastAsia="en-US" w:bidi="ar-SA"/>
              </w:rPr>
              <w:br/>
            </w:r>
            <w:r>
              <w:rPr>
                <w:rFonts w:eastAsia="Aptos" w:cs="Aptos"/>
                <w:szCs w:val="20"/>
                <w:lang w:val="en-US" w:eastAsia="en-US" w:bidi="ar-SA"/>
              </w:rPr>
              <w:t xml:space="preserve">  ~48 hours</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Day 2 - Migration Validation</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Review migration results, execute custom scripts/manual remediation, and run source-vs-target validation.</w:t>
            </w:r>
          </w:p>
        </w:tc>
        <w:tc>
          <w:tcPr>
            <w:tcW w:w="348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OWNER=&lt;to be assigned&gt;</w:t>
            </w:r>
            <w:r>
              <w:rPr>
                <w:lang w:val="en-US" w:eastAsia="en-US" w:bidi="ar-SA"/>
              </w:rPr>
              <w:br/>
            </w:r>
            <w:r>
              <w:rPr>
                <w:rFonts w:eastAsia="Courier New" w:cs="Courier New" w:ascii="Courier New" w:hAnsi="Courier New"/>
                <w:color w:themeColor="text1" w:val="000000"/>
                <w:sz w:val="17"/>
                <w:szCs w:val="17"/>
                <w:lang w:val="en-US" w:eastAsia="en-US" w:bidi="ar-SA"/>
              </w:rPr>
              <w:t xml:space="preserve">  TIME=&lt;to be defined&gt;</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Day 3 - Runner &amp; Developer Testing</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Validate PROD/DEV cloned runners and private runners; HS developers execute functional tests and record evidence/defects.</w:t>
            </w:r>
          </w:p>
        </w:tc>
        <w:tc>
          <w:tcPr>
            <w:tcW w:w="348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OWNER=&lt;to be assigned&gt;</w:t>
            </w:r>
            <w:r>
              <w:rPr>
                <w:lang w:val="en-US" w:eastAsia="en-US" w:bidi="ar-SA"/>
              </w:rPr>
              <w:br/>
            </w:r>
            <w:r>
              <w:rPr>
                <w:rFonts w:eastAsia="Courier New" w:cs="Courier New" w:ascii="Courier New" w:hAnsi="Courier New"/>
                <w:color w:themeColor="text1" w:val="000000"/>
                <w:sz w:val="17"/>
                <w:szCs w:val="17"/>
                <w:lang w:val="en-US" w:eastAsia="en-US" w:bidi="ar-SA"/>
              </w:rPr>
              <w:t xml:space="preserve">  TIME=&lt;to be defined&gt;</w:t>
            </w:r>
          </w:p>
        </w:tc>
      </w:tr>
      <w:tr>
        <w:trPr>
          <w:trHeight w:val="300" w:hRule="atLeast"/>
        </w:trPr>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Day 4 - Results &amp; Readiness</w:t>
            </w:r>
          </w:p>
        </w:tc>
        <w:tc>
          <w:tcPr>
            <w:tcW w:w="3485" w:type="dxa"/>
            <w:tcBorders>
              <w:top w:val="single" w:sz="8" w:space="0" w:color="000000"/>
              <w:left w:val="single" w:sz="8" w:space="0" w:color="000000"/>
              <w:bottom w:val="single" w:sz="8" w:space="0" w:color="000000"/>
              <w:right w:val="single" w:sz="8" w:space="0" w:color="000000"/>
            </w:tcBorders>
          </w:tcPr>
          <w:p>
            <w:pPr>
              <w:pStyle w:val="Normal"/>
              <w:widowControl/>
              <w:spacing w:before="0" w:after="0"/>
              <w:jc w:val="left"/>
              <w:rPr>
                <w:rFonts w:ascii="Aptos" w:hAnsi="Aptos"/>
                <w:lang w:val="en-US" w:eastAsia="en-US" w:bidi="ar-SA"/>
              </w:rPr>
            </w:pPr>
            <w:r>
              <w:rPr>
                <w:rFonts w:eastAsia="Aptos" w:cs="Aptos"/>
                <w:szCs w:val="20"/>
                <w:lang w:val="en-US" w:eastAsia="en-US" w:bidi="ar-SA"/>
              </w:rPr>
              <w:t>Review defects, required retest, actual duration, runbook updates and Exit Gate decision.</w:t>
            </w:r>
          </w:p>
        </w:tc>
        <w:tc>
          <w:tcPr>
            <w:tcW w:w="3485" w:type="dxa"/>
            <w:tcBorders>
              <w:top w:val="single" w:sz="8" w:space="0" w:color="000000"/>
              <w:left w:val="single" w:sz="8" w:space="0" w:color="000000"/>
              <w:bottom w:val="single" w:sz="8" w:space="0" w:color="000000"/>
              <w:right w:val="single" w:sz="8" w:space="0" w:color="000000"/>
            </w:tcBorders>
            <w:shd w:color="auto" w:fill="F2F2F2" w:themeFill="background1" w:themeFillShade="f2" w:val="clear"/>
          </w:tcPr>
          <w:p>
            <w:pPr>
              <w:pStyle w:val="Normal"/>
              <w:widowControl/>
              <w:spacing w:before="0" w:after="0"/>
              <w:jc w:val="left"/>
              <w:rPr>
                <w:rFonts w:ascii="Aptos" w:hAnsi="Aptos"/>
                <w:lang w:val="en-US" w:eastAsia="en-US" w:bidi="ar-SA"/>
              </w:rPr>
            </w:pPr>
            <w:r>
              <w:rPr>
                <w:rFonts w:eastAsia="Courier New" w:cs="Courier New" w:ascii="Courier New" w:hAnsi="Courier New"/>
                <w:color w:themeColor="text1" w:val="000000"/>
                <w:sz w:val="17"/>
                <w:szCs w:val="17"/>
                <w:lang w:val="en-US" w:eastAsia="en-US" w:bidi="ar-SA"/>
              </w:rPr>
              <w:t>OWNER=&lt;to be assigned&gt;</w:t>
            </w:r>
            <w:r>
              <w:rPr>
                <w:lang w:val="en-US" w:eastAsia="en-US" w:bidi="ar-SA"/>
              </w:rPr>
              <w:br/>
            </w:r>
            <w:r>
              <w:rPr>
                <w:rFonts w:eastAsia="Courier New" w:cs="Courier New" w:ascii="Courier New" w:hAnsi="Courier New"/>
                <w:color w:themeColor="text1" w:val="000000"/>
                <w:sz w:val="17"/>
                <w:szCs w:val="17"/>
                <w:lang w:val="en-US" w:eastAsia="en-US" w:bidi="ar-SA"/>
              </w:rPr>
              <w:t xml:space="preserve">  TIME=&lt;to be defined&gt;</w:t>
            </w:r>
          </w:p>
        </w:tc>
      </w:tr>
    </w:tbl>
    <w:p>
      <w:pPr>
        <w:pStyle w:val="Heading2"/>
        <w:numPr>
          <w:ilvl w:val="0"/>
          <w:numId w:val="13"/>
        </w:numPr>
        <w:ind w:hanging="0" w:left="180"/>
        <w:rPr/>
      </w:pPr>
      <w:bookmarkStart w:id="66" w:name="__RefHeading___Toc2450_3011997666"/>
      <w:bookmarkStart w:id="67" w:name="_Toc238535943"/>
      <w:bookmarkEnd w:id="66"/>
      <w:r>
        <w:rPr/>
        <w:t>Exit Gate</w:t>
      </w:r>
      <w:bookmarkEnd w:id="67"/>
    </w:p>
    <w:p>
      <w:pPr>
        <w:pStyle w:val="Heading3"/>
        <w:rPr/>
      </w:pPr>
      <w:bookmarkStart w:id="68" w:name="__RefHeading___Toc2452_3011997666"/>
      <w:bookmarkStart w:id="69" w:name="_Toc238535944"/>
      <w:bookmarkEnd w:id="68"/>
      <w:r>
        <w:rPr/>
        <w:t>16.1 Exit Gate criteria</w:t>
      </w:r>
      <w:bookmarkEnd w:id="69"/>
    </w:p>
    <w:p>
      <w:pPr>
        <w:pStyle w:val="ListParagraph"/>
        <w:numPr>
          <w:ilvl w:val="0"/>
          <w:numId w:val="10"/>
        </w:numPr>
        <w:rPr>
          <w:rFonts w:eastAsia="Aptos"/>
        </w:rPr>
      </w:pPr>
      <w:r>
        <w:rPr>
          <w:rFonts w:eastAsia="Aptos"/>
        </w:rPr>
        <w:t>No unresolved Critical migration/data-integrity defect.</w:t>
      </w:r>
    </w:p>
    <w:p>
      <w:pPr>
        <w:pStyle w:val="ListParagraph"/>
        <w:numPr>
          <w:ilvl w:val="0"/>
          <w:numId w:val="10"/>
        </w:numPr>
        <w:rPr>
          <w:rFonts w:eastAsia="Aptos"/>
        </w:rPr>
      </w:pPr>
      <w:r>
        <w:rPr>
          <w:rFonts w:eastAsia="Aptos"/>
        </w:rPr>
        <w:t>All High defects are resolved/retested or explicitly accepted with owner and production action.</w:t>
      </w:r>
    </w:p>
    <w:p>
      <w:pPr>
        <w:pStyle w:val="ListParagraph"/>
        <w:numPr>
          <w:ilvl w:val="0"/>
          <w:numId w:val="10"/>
        </w:numPr>
        <w:rPr>
          <w:rFonts w:eastAsia="Aptos"/>
        </w:rPr>
      </w:pPr>
      <w:r>
        <w:rPr>
          <w:rFonts w:eastAsia="Aptos"/>
        </w:rPr>
        <w:t>All critical runner patterns are validated, including the PROD/DEV cloned self-hosted runners and private-networked runners.</w:t>
      </w:r>
    </w:p>
    <w:p>
      <w:pPr>
        <w:pStyle w:val="ListParagraph"/>
        <w:numPr>
          <w:ilvl w:val="0"/>
          <w:numId w:val="10"/>
        </w:numPr>
        <w:rPr>
          <w:rFonts w:eastAsia="Aptos"/>
        </w:rPr>
      </w:pPr>
      <w:r>
        <w:rPr>
          <w:rFonts w:eastAsia="Aptos"/>
        </w:rPr>
        <w:t>Representative critical workflows are executed successfully.</w:t>
      </w:r>
    </w:p>
    <w:p>
      <w:pPr>
        <w:pStyle w:val="ListParagraph"/>
        <w:numPr>
          <w:ilvl w:val="0"/>
          <w:numId w:val="10"/>
        </w:numPr>
        <w:rPr>
          <w:rFonts w:eastAsia="Aptos"/>
        </w:rPr>
      </w:pPr>
      <w:r>
        <w:rPr>
          <w:rFonts w:eastAsia="Aptos"/>
        </w:rPr>
        <w:t>Critical secrets/packages/integrations used by tested workloads operate in HCSC.</w:t>
      </w:r>
    </w:p>
    <w:p>
      <w:pPr>
        <w:pStyle w:val="ListParagraph"/>
        <w:numPr>
          <w:ilvl w:val="0"/>
          <w:numId w:val="10"/>
        </w:numPr>
        <w:rPr>
          <w:rFonts w:eastAsia="Aptos"/>
        </w:rPr>
      </w:pPr>
      <w:r>
        <w:rPr>
          <w:rFonts w:eastAsia="Aptos"/>
        </w:rPr>
        <w:t>100% of planned Developer Functional Test Matrix cases are executed, or any deferred cases are documented with an approved reason.</w:t>
      </w:r>
    </w:p>
    <w:p>
      <w:pPr>
        <w:pStyle w:val="ListParagraph"/>
        <w:numPr>
          <w:ilvl w:val="0"/>
          <w:numId w:val="10"/>
        </w:numPr>
        <w:rPr>
          <w:rFonts w:eastAsia="Aptos"/>
        </w:rPr>
      </w:pPr>
      <w:r>
        <w:rPr>
          <w:rFonts w:eastAsia="Aptos"/>
        </w:rPr>
        <w:t>Migration timing and operational constraints are understood.</w:t>
      </w:r>
    </w:p>
    <w:p>
      <w:pPr>
        <w:pStyle w:val="ListParagraph"/>
        <w:numPr>
          <w:ilvl w:val="0"/>
          <w:numId w:val="10"/>
        </w:numPr>
        <w:rPr>
          <w:rFonts w:eastAsia="Aptos"/>
        </w:rPr>
      </w:pPr>
      <w:r>
        <w:rPr>
          <w:rFonts w:eastAsia="Aptos"/>
        </w:rPr>
        <w:t>Runbook/script changes from test findings are completed or tracked.</w:t>
      </w:r>
    </w:p>
    <w:p>
      <w:pPr>
        <w:pStyle w:val="ListParagraph"/>
        <w:numPr>
          <w:ilvl w:val="0"/>
          <w:numId w:val="10"/>
        </w:numPr>
        <w:rPr>
          <w:rFonts w:eastAsia="Aptos"/>
        </w:rPr>
      </w:pPr>
      <w:r>
        <w:rPr>
          <w:rFonts w:eastAsia="Aptos"/>
        </w:rPr>
        <w:t>The Evidence package is complete.</w:t>
      </w:r>
    </w:p>
    <w:p>
      <w:pPr>
        <w:pStyle w:val="ListParagraph"/>
        <w:numPr>
          <w:ilvl w:val="0"/>
          <w:numId w:val="10"/>
        </w:numPr>
        <w:rPr>
          <w:rFonts w:eastAsia="Aptos"/>
        </w:rPr>
      </w:pPr>
      <w:r>
        <w:rPr>
          <w:rFonts w:eastAsia="Aptos"/>
        </w:rPr>
        <w:t>A production runner decision is made to retain cloned infrastructure or transition selected current HS runners at final cutover.</w:t>
      </w:r>
    </w:p>
    <w:p>
      <w:pPr>
        <w:pStyle w:val="ListParagraph"/>
        <w:numPr>
          <w:ilvl w:val="0"/>
          <w:numId w:val="10"/>
        </w:numPr>
        <w:rPr>
          <w:rFonts w:eastAsia="Aptos"/>
        </w:rPr>
      </w:pPr>
      <w:r>
        <w:rPr>
          <w:rFonts w:eastAsia="Aptos"/>
        </w:rPr>
        <w:t>A formal READY, READY WITH CONDITIONS, or NOT READY decision is recorded.</w:t>
      </w:r>
    </w:p>
    <w:p>
      <w:pPr>
        <w:pStyle w:val="Heading3"/>
        <w:rPr/>
      </w:pPr>
      <w:bookmarkStart w:id="70" w:name="__RefHeading___Toc2454_3011997666"/>
      <w:bookmarkStart w:id="71" w:name="_Toc238535945"/>
      <w:bookmarkEnd w:id="70"/>
      <w:r>
        <w:rPr/>
        <w:t>16.2 Exit Gate evaluation</w:t>
      </w:r>
      <w:bookmarkEnd w:id="71"/>
    </w:p>
    <w:p>
      <w:pPr>
        <w:pStyle w:val="Normal"/>
        <w:rPr/>
      </w:pPr>
      <w:r>
        <w:rPr>
          <w:rFonts w:eastAsia="Aptos" w:cs="Aptos"/>
          <w:szCs w:val="20"/>
        </w:rPr>
        <w:t>The activity concludes with one of three outcomes:</w:t>
      </w:r>
    </w:p>
    <w:p>
      <w:pPr>
        <w:pStyle w:val="ListParagraph"/>
        <w:numPr>
          <w:ilvl w:val="0"/>
          <w:numId w:val="11"/>
        </w:numPr>
        <w:rPr>
          <w:rFonts w:eastAsia="Aptos"/>
        </w:rPr>
      </w:pPr>
      <w:r>
        <w:rPr>
          <w:rFonts w:eastAsia="Aptos"/>
        </w:rPr>
        <w:t>READY — no blocking quality issue remains and the production process is understood and repeatable.</w:t>
      </w:r>
    </w:p>
    <w:p>
      <w:pPr>
        <w:pStyle w:val="ListParagraph"/>
        <w:numPr>
          <w:ilvl w:val="0"/>
          <w:numId w:val="11"/>
        </w:numPr>
        <w:rPr>
          <w:rFonts w:eastAsia="Aptos"/>
        </w:rPr>
      </w:pPr>
      <w:r>
        <w:rPr>
          <w:rFonts w:eastAsia="Aptos"/>
        </w:rPr>
        <w:t>READY WITH CONDITIONS — no Critical blocker remains but defined non-blocking actions must be completed before or during final migration.</w:t>
      </w:r>
    </w:p>
    <w:p>
      <w:pPr>
        <w:pStyle w:val="ListParagraph"/>
        <w:numPr>
          <w:ilvl w:val="0"/>
          <w:numId w:val="11"/>
        </w:numPr>
        <w:rPr>
          <w:rFonts w:eastAsia="Aptos"/>
        </w:rPr>
      </w:pPr>
      <w:r>
        <w:rPr>
          <w:rFonts w:eastAsia="Aptos"/>
        </w:rPr>
        <w:t>NOT READY — one or more blocking conditions require remediation and targeted or full retest.</w:t>
      </w:r>
    </w:p>
    <w:p>
      <w:pPr>
        <w:pStyle w:val="Heading2"/>
        <w:numPr>
          <w:ilvl w:val="0"/>
          <w:numId w:val="13"/>
        </w:numPr>
        <w:ind w:hanging="0" w:left="180"/>
        <w:rPr/>
      </w:pPr>
      <w:bookmarkStart w:id="72" w:name="__RefHeading___Toc2456_3011997666"/>
      <w:bookmarkStart w:id="73" w:name="_Toc238535946"/>
      <w:bookmarkEnd w:id="72"/>
      <w:r>
        <w:rPr/>
        <w:t>Full Migration Test Deliverables</w:t>
      </w:r>
      <w:bookmarkEnd w:id="73"/>
    </w:p>
    <w:p>
      <w:pPr>
        <w:pStyle w:val="ListParagraph"/>
        <w:numPr>
          <w:ilvl w:val="0"/>
          <w:numId w:val="12"/>
        </w:numPr>
        <w:rPr>
          <w:rFonts w:eastAsia="Aptos"/>
        </w:rPr>
      </w:pPr>
      <w:r>
        <w:rPr>
          <w:rFonts w:eastAsia="Aptos"/>
        </w:rPr>
        <w:t>Full Migration Test Report.</w:t>
      </w:r>
    </w:p>
    <w:p>
      <w:pPr>
        <w:pStyle w:val="ListParagraph"/>
        <w:numPr>
          <w:ilvl w:val="0"/>
          <w:numId w:val="12"/>
        </w:numPr>
        <w:rPr>
          <w:rFonts w:eastAsia="Aptos"/>
        </w:rPr>
      </w:pPr>
      <w:r>
        <w:rPr>
          <w:rFonts w:eastAsia="Aptos"/>
        </w:rPr>
        <w:t>Complete repository migration status/reconciliation report.</w:t>
      </w:r>
    </w:p>
    <w:p>
      <w:pPr>
        <w:pStyle w:val="ListParagraph"/>
        <w:numPr>
          <w:ilvl w:val="0"/>
          <w:numId w:val="12"/>
        </w:numPr>
        <w:rPr>
          <w:rFonts w:eastAsia="Aptos"/>
        </w:rPr>
      </w:pPr>
      <w:r>
        <w:rPr>
          <w:rFonts w:eastAsia="Aptos"/>
        </w:rPr>
        <w:t>Migration Evidence Package.</w:t>
      </w:r>
    </w:p>
    <w:p>
      <w:pPr>
        <w:pStyle w:val="ListParagraph"/>
        <w:numPr>
          <w:ilvl w:val="0"/>
          <w:numId w:val="12"/>
        </w:numPr>
        <w:rPr>
          <w:rFonts w:eastAsia="Aptos"/>
        </w:rPr>
      </w:pPr>
      <w:r>
        <w:rPr>
          <w:rFonts w:eastAsia="Aptos"/>
        </w:rPr>
        <w:t>Runner and networking validation report.</w:t>
      </w:r>
    </w:p>
    <w:p>
      <w:pPr>
        <w:pStyle w:val="ListParagraph"/>
        <w:numPr>
          <w:ilvl w:val="0"/>
          <w:numId w:val="12"/>
        </w:numPr>
        <w:rPr>
          <w:rFonts w:eastAsia="Aptos"/>
        </w:rPr>
      </w:pPr>
      <w:r>
        <w:rPr>
          <w:rFonts w:eastAsia="Aptos"/>
        </w:rPr>
        <w:t>HS Developer UAT results.</w:t>
      </w:r>
    </w:p>
    <w:p>
      <w:pPr>
        <w:pStyle w:val="ListParagraph"/>
        <w:numPr>
          <w:ilvl w:val="0"/>
          <w:numId w:val="12"/>
        </w:numPr>
        <w:rPr>
          <w:rFonts w:eastAsia="Aptos"/>
        </w:rPr>
      </w:pPr>
      <w:r>
        <w:rPr>
          <w:rFonts w:eastAsia="Aptos"/>
        </w:rPr>
        <w:t>Defect/exception register with ownership and retest status.</w:t>
      </w:r>
    </w:p>
    <w:p>
      <w:pPr>
        <w:pStyle w:val="ListParagraph"/>
        <w:numPr>
          <w:ilvl w:val="0"/>
          <w:numId w:val="12"/>
        </w:numPr>
        <w:rPr>
          <w:rFonts w:eastAsia="Aptos"/>
        </w:rPr>
      </w:pPr>
      <w:r>
        <w:rPr>
          <w:rFonts w:eastAsia="Aptos"/>
        </w:rPr>
        <w:t>Updated migration scripts/configuration where required.</w:t>
      </w:r>
    </w:p>
    <w:p>
      <w:pPr>
        <w:pStyle w:val="ListParagraph"/>
        <w:numPr>
          <w:ilvl w:val="0"/>
          <w:numId w:val="12"/>
        </w:numPr>
        <w:rPr>
          <w:rFonts w:eastAsia="Aptos"/>
        </w:rPr>
      </w:pPr>
      <w:r>
        <w:rPr>
          <w:rFonts w:eastAsia="Aptos"/>
        </w:rPr>
        <w:t>Updated Migration Runbook and troubleshooting guidance.</w:t>
      </w:r>
    </w:p>
    <w:p>
      <w:pPr>
        <w:pStyle w:val="ListParagraph"/>
        <w:numPr>
          <w:ilvl w:val="0"/>
          <w:numId w:val="12"/>
        </w:numPr>
        <w:rPr>
          <w:rFonts w:eastAsia="Aptos"/>
        </w:rPr>
      </w:pPr>
      <w:r>
        <w:rPr>
          <w:rFonts w:eastAsia="Aptos"/>
        </w:rPr>
        <w:t>Test-to-Production Delta Register.</w:t>
      </w:r>
    </w:p>
    <w:p>
      <w:pPr>
        <w:pStyle w:val="ListParagraph"/>
        <w:numPr>
          <w:ilvl w:val="0"/>
          <w:numId w:val="12"/>
        </w:numPr>
        <w:rPr>
          <w:rFonts w:eastAsia="Aptos"/>
        </w:rPr>
      </w:pPr>
      <w:r>
        <w:rPr>
          <w:rFonts w:eastAsia="Aptos"/>
        </w:rPr>
        <w:t>Production runner/network architecture decision.</w:t>
      </w:r>
    </w:p>
    <w:p>
      <w:pPr>
        <w:pStyle w:val="ListParagraph"/>
        <w:numPr>
          <w:ilvl w:val="0"/>
          <w:numId w:val="12"/>
        </w:numPr>
        <w:rPr>
          <w:rFonts w:eastAsia="Aptos"/>
        </w:rPr>
      </w:pPr>
      <w:r>
        <w:rPr>
          <w:rFonts w:eastAsia="Aptos"/>
        </w:rPr>
        <w:t>Production Migration Readiness recommendation.</w:t>
      </w:r>
    </w:p>
    <w:p>
      <w:pPr>
        <w:pStyle w:val="Heading2"/>
        <w:numPr>
          <w:ilvl w:val="0"/>
          <w:numId w:val="13"/>
        </w:numPr>
        <w:ind w:hanging="0" w:left="180"/>
        <w:rPr/>
      </w:pPr>
      <w:bookmarkStart w:id="74" w:name="__RefHeading___Toc2458_3011997666"/>
      <w:bookmarkEnd w:id="74"/>
      <w:r>
        <w:rPr/>
        <w:t>Critical Path for the Test</w:t>
      </w:r>
    </w:p>
    <w:p>
      <w:pPr>
        <w:pStyle w:val="Normal"/>
        <w:rPr/>
      </w:pPr>
      <w:r>
        <w:rPr/>
        <w:t>Entry Gate → Full Migration completion → Technical validation → HS Developer Functional Test → Defect/retest review → Exit Gate / production-readiness decision.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alibri">
    <w:charset w:val="00"/>
    <w:family w:val="swiss"/>
    <w:pitch w:val="variable"/>
  </w:font>
  <w:font w:name="Liberation Sans">
    <w:altName w:val="Arial"/>
    <w:charset w:val="00"/>
    <w:family w:val="swiss"/>
    <w:pitch w:val="variable"/>
  </w:font>
  <w:font w:name="Wingdings">
    <w:charset w:val="00"/>
    <w:family w:val="roman"/>
    <w:pitch w:val="variable"/>
  </w:font>
  <w:font w:name="Courier New">
    <w:charset w:val="00"/>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2131d"/>
    <w:pPr>
      <w:widowControl/>
      <w:bidi w:val="0"/>
      <w:spacing w:lineRule="auto" w:line="240" w:before="0" w:after="0"/>
      <w:jc w:val="left"/>
    </w:pPr>
    <w:rPr>
      <w:rFonts w:eastAsia="Times New Roman" w:cs="Times New Roman" w:ascii="Aptos" w:hAnsi="Aptos"/>
      <w:color w:val="auto"/>
      <w:kern w:val="0"/>
      <w:sz w:val="22"/>
      <w:szCs w:val="22"/>
      <w:lang w:val="en-US" w:eastAsia="en-US" w:bidi="ar-SA"/>
      <w14:ligatures w14:val="none"/>
    </w:rPr>
  </w:style>
  <w:style w:type="paragraph" w:styleId="Heading1">
    <w:name w:val="heading 1"/>
    <w:basedOn w:val="Normal"/>
    <w:next w:val="Normal"/>
    <w:link w:val="Heading1Char"/>
    <w:uiPriority w:val="9"/>
    <w:qFormat/>
    <w:rsid w:val="0076441e"/>
    <w:pPr>
      <w:keepNext w:val="true"/>
      <w:keepLines/>
      <w:spacing w:before="360" w:after="80"/>
      <w:outlineLvl w:val="0"/>
    </w:pPr>
    <w:rPr>
      <w:rFonts w:ascii="Aptos Display" w:hAnsi="Aptos Display" w:eastAsia="游ゴシック Light" w:cs="Times New Roman" w:asciiTheme="majorHAnsi" w:cstheme="majorBidi" w:eastAsiaTheme="majorEastAsia" w:hAnsiTheme="majorHAnsi"/>
      <w:color w:themeColor="accent1" w:themeShade="bf" w:val="0033AC"/>
      <w:sz w:val="40"/>
      <w:szCs w:val="40"/>
    </w:rPr>
  </w:style>
  <w:style w:type="paragraph" w:styleId="Heading2">
    <w:name w:val="heading 2"/>
    <w:basedOn w:val="Normal"/>
    <w:next w:val="Normal"/>
    <w:link w:val="Heading2Char"/>
    <w:uiPriority w:val="9"/>
    <w:unhideWhenUsed/>
    <w:qFormat/>
    <w:rsid w:val="002977f6"/>
    <w:pPr>
      <w:keepNext w:val="true"/>
      <w:keepLines/>
      <w:numPr>
        <w:ilvl w:val="0"/>
        <w:numId w:val="13"/>
      </w:numPr>
      <w:spacing w:before="240" w:after="80"/>
      <w:ind w:hanging="0" w:left="180"/>
      <w:outlineLvl w:val="1"/>
    </w:pPr>
    <w:rPr>
      <w:rFonts w:ascii="Calibri" w:hAnsi="Calibri" w:eastAsia="Calibri" w:cs="Calibri"/>
      <w:color w:themeColor="accent1" w:themeShade="bf" w:val="0033AC"/>
      <w:sz w:val="32"/>
      <w:szCs w:val="36"/>
    </w:rPr>
  </w:style>
  <w:style w:type="paragraph" w:styleId="Heading3">
    <w:name w:val="heading 3"/>
    <w:basedOn w:val="Normal"/>
    <w:next w:val="Normal"/>
    <w:link w:val="Heading3Char"/>
    <w:uiPriority w:val="9"/>
    <w:unhideWhenUsed/>
    <w:qFormat/>
    <w:rsid w:val="002977f6"/>
    <w:pPr>
      <w:keepNext w:val="true"/>
      <w:keepLines/>
      <w:spacing w:before="160" w:after="80"/>
      <w:ind w:left="360"/>
      <w:outlineLvl w:val="2"/>
    </w:pPr>
    <w:rPr>
      <w:rFonts w:eastAsia="游ゴシック Light" w:cs="Times New Roman" w:cstheme="majorBidi" w:eastAsiaTheme="majorEastAsia"/>
      <w:i/>
      <w:iCs/>
      <w:color w:themeColor="accent1" w:themeShade="bf" w:val="0033AC"/>
      <w:sz w:val="28"/>
      <w:szCs w:val="28"/>
    </w:rPr>
  </w:style>
  <w:style w:type="paragraph" w:styleId="Heading4">
    <w:name w:val="heading 4"/>
    <w:basedOn w:val="Normal"/>
    <w:next w:val="Normal"/>
    <w:link w:val="Heading4Char"/>
    <w:uiPriority w:val="9"/>
    <w:semiHidden/>
    <w:unhideWhenUsed/>
    <w:qFormat/>
    <w:rsid w:val="0076441e"/>
    <w:pPr>
      <w:keepNext w:val="true"/>
      <w:keepLines/>
      <w:spacing w:before="80" w:after="40"/>
      <w:outlineLvl w:val="3"/>
    </w:pPr>
    <w:rPr>
      <w:rFonts w:eastAsia="游ゴシック Light" w:cs="Times New Roman" w:cstheme="majorBidi" w:eastAsiaTheme="majorEastAsia"/>
      <w:i/>
      <w:iCs/>
      <w:color w:themeColor="accent1" w:themeShade="bf" w:val="0033AC"/>
    </w:rPr>
  </w:style>
  <w:style w:type="paragraph" w:styleId="Heading5">
    <w:name w:val="heading 5"/>
    <w:basedOn w:val="Normal"/>
    <w:next w:val="Normal"/>
    <w:link w:val="Heading5Char"/>
    <w:uiPriority w:val="9"/>
    <w:semiHidden/>
    <w:unhideWhenUsed/>
    <w:qFormat/>
    <w:rsid w:val="0076441e"/>
    <w:pPr>
      <w:keepNext w:val="true"/>
      <w:keepLines/>
      <w:spacing w:before="80" w:after="40"/>
      <w:outlineLvl w:val="4"/>
    </w:pPr>
    <w:rPr>
      <w:rFonts w:eastAsia="游ゴシック Light" w:cs="Times New Roman" w:cstheme="majorBidi" w:eastAsiaTheme="majorEastAsia"/>
      <w:color w:themeColor="accent1" w:themeShade="bf" w:val="0033AC"/>
    </w:rPr>
  </w:style>
  <w:style w:type="paragraph" w:styleId="Heading6">
    <w:name w:val="heading 6"/>
    <w:basedOn w:val="Normal"/>
    <w:next w:val="Normal"/>
    <w:link w:val="Heading6Char"/>
    <w:uiPriority w:val="9"/>
    <w:semiHidden/>
    <w:unhideWhenUsed/>
    <w:qFormat/>
    <w:rsid w:val="0076441e"/>
    <w:pPr>
      <w:keepNext w:val="true"/>
      <w:keepLines/>
      <w:spacing w:before="40" w:after="0"/>
      <w:outlineLvl w:val="5"/>
    </w:pPr>
    <w:rPr>
      <w:rFonts w:eastAsia="游ゴシック Light"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441e"/>
    <w:pPr>
      <w:keepNext w:val="true"/>
      <w:keepLines/>
      <w:spacing w:before="40" w:after="0"/>
      <w:outlineLvl w:val="6"/>
    </w:pPr>
    <w:rPr>
      <w:rFonts w:eastAsia="游ゴシック Light"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441e"/>
    <w:pPr>
      <w:keepNext w:val="true"/>
      <w:keepLines/>
      <w:outlineLvl w:val="7"/>
    </w:pPr>
    <w:rPr>
      <w:rFonts w:eastAsia="游ゴシック Light"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441e"/>
    <w:pPr>
      <w:keepNext w:val="true"/>
      <w:keepLines/>
      <w:outlineLvl w:val="8"/>
    </w:pPr>
    <w:rPr>
      <w:rFonts w:eastAsia="游ゴシック Light"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6441e"/>
    <w:rPr>
      <w:rFonts w:ascii="Aptos Display" w:hAnsi="Aptos Display" w:eastAsia="游ゴシック Light" w:cs="Times New Roman" w:asciiTheme="majorHAnsi" w:cstheme="majorBidi" w:eastAsiaTheme="majorEastAsia" w:hAnsiTheme="majorHAnsi"/>
      <w:color w:themeColor="accent1" w:themeShade="bf" w:val="0033AC"/>
      <w:sz w:val="40"/>
      <w:szCs w:val="40"/>
    </w:rPr>
  </w:style>
  <w:style w:type="character" w:styleId="Heading2Char" w:customStyle="1">
    <w:name w:val="Heading 2 Char"/>
    <w:basedOn w:val="DefaultParagraphFont"/>
    <w:link w:val="Heading2"/>
    <w:uiPriority w:val="9"/>
    <w:qFormat/>
    <w:rsid w:val="002977f6"/>
    <w:rPr>
      <w:rFonts w:ascii="Calibri" w:hAnsi="Calibri" w:eastAsia="Calibri" w:cs="Calibri"/>
      <w:color w:themeColor="accent1" w:themeShade="bf" w:val="0033AC"/>
      <w:kern w:val="0"/>
      <w:sz w:val="32"/>
      <w:szCs w:val="36"/>
      <w14:ligatures w14:val="none"/>
    </w:rPr>
  </w:style>
  <w:style w:type="character" w:styleId="Heading3Char" w:customStyle="1">
    <w:name w:val="Heading 3 Char"/>
    <w:basedOn w:val="DefaultParagraphFont"/>
    <w:link w:val="Heading3"/>
    <w:uiPriority w:val="9"/>
    <w:qFormat/>
    <w:rsid w:val="002977f6"/>
    <w:rPr>
      <w:rFonts w:eastAsia="游ゴシック Light" w:cs="Times New Roman" w:cstheme="majorBidi" w:eastAsiaTheme="majorEastAsia"/>
      <w:i/>
      <w:iCs/>
      <w:color w:themeColor="accent1" w:themeShade="bf" w:val="0033AC"/>
      <w:kern w:val="0"/>
      <w:sz w:val="28"/>
      <w:szCs w:val="28"/>
      <w14:ligatures w14:val="none"/>
    </w:rPr>
  </w:style>
  <w:style w:type="character" w:styleId="Heading4Char" w:customStyle="1">
    <w:name w:val="Heading 4 Char"/>
    <w:basedOn w:val="DefaultParagraphFont"/>
    <w:link w:val="Heading4"/>
    <w:uiPriority w:val="9"/>
    <w:semiHidden/>
    <w:qFormat/>
    <w:rsid w:val="0076441e"/>
    <w:rPr>
      <w:rFonts w:eastAsia="游ゴシック Light" w:cs="Times New Roman" w:cstheme="majorBidi" w:eastAsiaTheme="majorEastAsia"/>
      <w:i/>
      <w:iCs/>
      <w:color w:themeColor="accent1" w:themeShade="bf" w:val="0033AC"/>
    </w:rPr>
  </w:style>
  <w:style w:type="character" w:styleId="Heading5Char" w:customStyle="1">
    <w:name w:val="Heading 5 Char"/>
    <w:basedOn w:val="DefaultParagraphFont"/>
    <w:link w:val="Heading5"/>
    <w:uiPriority w:val="9"/>
    <w:semiHidden/>
    <w:qFormat/>
    <w:rsid w:val="0076441e"/>
    <w:rPr>
      <w:rFonts w:eastAsia="游ゴシック Light" w:cs="Times New Roman" w:cstheme="majorBidi" w:eastAsiaTheme="majorEastAsia"/>
      <w:color w:themeColor="accent1" w:themeShade="bf" w:val="0033AC"/>
    </w:rPr>
  </w:style>
  <w:style w:type="character" w:styleId="Heading6Char" w:customStyle="1">
    <w:name w:val="Heading 6 Char"/>
    <w:basedOn w:val="DefaultParagraphFont"/>
    <w:link w:val="Heading6"/>
    <w:uiPriority w:val="9"/>
    <w:semiHidden/>
    <w:qFormat/>
    <w:rsid w:val="0076441e"/>
    <w:rPr>
      <w:rFonts w:eastAsia="游ゴシック Light"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441e"/>
    <w:rPr>
      <w:rFonts w:eastAsia="游ゴシック Light"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441e"/>
    <w:rPr>
      <w:rFonts w:eastAsia="游ゴシック Light"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441e"/>
    <w:rPr>
      <w:rFonts w:eastAsia="游ゴシック Light"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76441e"/>
    <w:rPr>
      <w:rFonts w:ascii="Aptos Display" w:hAnsi="Aptos Display" w:eastAsia="游ゴシック Light"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441e"/>
    <w:rPr>
      <w:rFonts w:eastAsia="游ゴシック Light"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441e"/>
    <w:rPr>
      <w:i/>
      <w:iCs/>
      <w:color w:themeColor="text1" w:themeTint="bf" w:val="404040"/>
    </w:rPr>
  </w:style>
  <w:style w:type="character" w:styleId="IntenseEmphasis">
    <w:name w:val="Intense Emphasis"/>
    <w:basedOn w:val="DefaultParagraphFont"/>
    <w:uiPriority w:val="21"/>
    <w:qFormat/>
    <w:rsid w:val="0076441e"/>
    <w:rPr>
      <w:i/>
      <w:iCs/>
      <w:color w:themeColor="accent1" w:themeShade="bf" w:val="0033AC"/>
    </w:rPr>
  </w:style>
  <w:style w:type="character" w:styleId="IntenseQuoteChar" w:customStyle="1">
    <w:name w:val="Intense Quote Char"/>
    <w:basedOn w:val="DefaultParagraphFont"/>
    <w:link w:val="IntenseQuote"/>
    <w:uiPriority w:val="30"/>
    <w:qFormat/>
    <w:rsid w:val="0076441e"/>
    <w:rPr>
      <w:i/>
      <w:iCs/>
      <w:color w:themeColor="accent1" w:themeShade="bf" w:val="0033AC"/>
    </w:rPr>
  </w:style>
  <w:style w:type="character" w:styleId="IntenseReference">
    <w:name w:val="Intense Reference"/>
    <w:basedOn w:val="DefaultParagraphFont"/>
    <w:uiPriority w:val="32"/>
    <w:qFormat/>
    <w:rsid w:val="0076441e"/>
    <w:rPr>
      <w:b/>
      <w:bCs/>
      <w:smallCaps/>
      <w:color w:themeColor="accent1" w:themeShade="bf" w:val="0033AC"/>
      <w:spacing w:val="5"/>
    </w:rPr>
  </w:style>
  <w:style w:type="character" w:styleId="HeaderChar" w:customStyle="1">
    <w:name w:val="Header Char"/>
    <w:basedOn w:val="DefaultParagraphFont"/>
    <w:link w:val="Header"/>
    <w:uiPriority w:val="99"/>
    <w:qFormat/>
    <w:rsid w:val="0076441e"/>
    <w:rPr/>
  </w:style>
  <w:style w:type="character" w:styleId="FooterChar" w:customStyle="1">
    <w:name w:val="Footer Char"/>
    <w:basedOn w:val="DefaultParagraphFont"/>
    <w:link w:val="Footer"/>
    <w:uiPriority w:val="99"/>
    <w:qFormat/>
    <w:rsid w:val="0076441e"/>
    <w:rPr/>
  </w:style>
  <w:style w:type="character" w:styleId="Hyperlink">
    <w:name w:val="Hyperlink"/>
    <w:uiPriority w:val="99"/>
    <w:unhideWhenUsed/>
    <w:rsid w:val="0002131d"/>
    <w:rPr>
      <w:color w:val="0563C1"/>
      <w:u w:val="single"/>
    </w:rPr>
  </w:style>
  <w:style w:type="character" w:styleId="CommentReference">
    <w:name w:val="annotation reference"/>
    <w:basedOn w:val="DefaultParagraphFont"/>
    <w:uiPriority w:val="99"/>
    <w:semiHidden/>
    <w:unhideWhenUsed/>
    <w:qFormat/>
    <w:rsid w:val="00f94ca4"/>
    <w:rPr>
      <w:sz w:val="16"/>
      <w:szCs w:val="16"/>
    </w:rPr>
  </w:style>
  <w:style w:type="character" w:styleId="CommentTextChar" w:customStyle="1">
    <w:name w:val="Comment Text Char"/>
    <w:basedOn w:val="DefaultParagraphFont"/>
    <w:link w:val="CommentText"/>
    <w:uiPriority w:val="99"/>
    <w:qFormat/>
    <w:rsid w:val="00f94ca4"/>
    <w:rPr>
      <w:rFonts w:eastAsia="Times New Roman" w:cs="Times New Roman"/>
      <w:kern w:val="0"/>
      <w:sz w:val="20"/>
      <w:szCs w:val="20"/>
      <w14:ligatures w14:val="none"/>
    </w:rPr>
  </w:style>
  <w:style w:type="character" w:styleId="CommentSubjectChar" w:customStyle="1">
    <w:name w:val="Comment Subject Char"/>
    <w:basedOn w:val="CommentTextChar"/>
    <w:link w:val="annotationsubject"/>
    <w:uiPriority w:val="99"/>
    <w:semiHidden/>
    <w:qFormat/>
    <w:rsid w:val="00f94ca4"/>
    <w:rPr>
      <w:rFonts w:eastAsia="Times New Roman" w:cs="Times New Roman"/>
      <w:b/>
      <w:bCs/>
      <w:kern w:val="0"/>
      <w:sz w:val="20"/>
      <w:szCs w:val="20"/>
      <w14:ligatures w14:val="none"/>
    </w:rPr>
  </w:style>
  <w:style w:type="character" w:styleId="Mention">
    <w:name w:val="Mention"/>
    <w:basedOn w:val="DefaultParagraphFont"/>
    <w:uiPriority w:val="99"/>
    <w:unhideWhenUsed/>
    <w:qFormat/>
    <w:rsid w:val="00f94ca4"/>
    <w:rPr>
      <w:color w:val="2B579A"/>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6441e"/>
    <w:pPr>
      <w:spacing w:before="0" w:after="80"/>
      <w:contextualSpacing/>
    </w:pPr>
    <w:rPr>
      <w:rFonts w:ascii="Aptos Display" w:hAnsi="Aptos Display" w:eastAsia="游ゴシック Light"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441e"/>
    <w:pPr/>
    <w:rPr>
      <w:rFonts w:eastAsia="游ゴシック Light"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441e"/>
    <w:pPr>
      <w:spacing w:before="160" w:after="0"/>
      <w:jc w:val="center"/>
    </w:pPr>
    <w:rPr>
      <w:i/>
      <w:iCs/>
      <w:color w:themeColor="text1" w:themeTint="bf" w:val="404040"/>
    </w:rPr>
  </w:style>
  <w:style w:type="paragraph" w:styleId="ListParagraph">
    <w:name w:val="List Paragraph"/>
    <w:basedOn w:val="Normal"/>
    <w:uiPriority w:val="34"/>
    <w:qFormat/>
    <w:rsid w:val="0076441e"/>
    <w:pPr>
      <w:spacing w:before="0" w:after="0"/>
      <w:ind w:left="720"/>
      <w:contextualSpacing/>
    </w:pPr>
    <w:rPr/>
  </w:style>
  <w:style w:type="paragraph" w:styleId="IntenseQuote">
    <w:name w:val="Intense Quote"/>
    <w:basedOn w:val="Normal"/>
    <w:next w:val="Normal"/>
    <w:link w:val="IntenseQuoteChar"/>
    <w:uiPriority w:val="30"/>
    <w:qFormat/>
    <w:rsid w:val="0076441e"/>
    <w:pPr>
      <w:pBdr>
        <w:top w:val="single" w:sz="4" w:space="10" w:color="0033AC" w:themeColor="accent1" w:themeShade="bf"/>
        <w:bottom w:val="single" w:sz="4" w:space="10" w:color="0033AC" w:themeColor="accent1" w:themeShade="bf"/>
      </w:pBdr>
      <w:spacing w:before="360" w:after="360"/>
      <w:ind w:left="864" w:right="864"/>
      <w:jc w:val="center"/>
    </w:pPr>
    <w:rPr>
      <w:i/>
      <w:iCs/>
      <w:color w:themeColor="accent1" w:themeShade="bf" w:val="0033AC"/>
    </w:rPr>
  </w:style>
  <w:style w:type="paragraph" w:styleId="HeaderandFooter">
    <w:name w:val="Header and Footer"/>
    <w:basedOn w:val="Normal"/>
    <w:qFormat/>
    <w:pPr/>
    <w:rPr/>
  </w:style>
  <w:style w:type="paragraph" w:styleId="Header">
    <w:name w:val="header"/>
    <w:basedOn w:val="Normal"/>
    <w:link w:val="HeaderChar"/>
    <w:uiPriority w:val="99"/>
    <w:unhideWhenUsed/>
    <w:rsid w:val="0076441e"/>
    <w:pPr>
      <w:tabs>
        <w:tab w:val="clear" w:pos="720"/>
        <w:tab w:val="center" w:pos="4419" w:leader="none"/>
        <w:tab w:val="right" w:pos="8838" w:leader="none"/>
      </w:tabs>
    </w:pPr>
    <w:rPr/>
  </w:style>
  <w:style w:type="paragraph" w:styleId="Footer">
    <w:name w:val="footer"/>
    <w:basedOn w:val="Normal"/>
    <w:link w:val="FooterChar"/>
    <w:uiPriority w:val="99"/>
    <w:unhideWhenUsed/>
    <w:rsid w:val="0076441e"/>
    <w:pPr>
      <w:tabs>
        <w:tab w:val="clear" w:pos="720"/>
        <w:tab w:val="center" w:pos="4419" w:leader="none"/>
        <w:tab w:val="right" w:pos="8838"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02131d"/>
    <w:pPr>
      <w:spacing w:lineRule="auto" w:line="259" w:before="240" w:after="0"/>
      <w:outlineLvl w:val="9"/>
    </w:pPr>
    <w:rPr>
      <w:sz w:val="32"/>
      <w:szCs w:val="32"/>
    </w:rPr>
  </w:style>
  <w:style w:type="paragraph" w:styleId="TOC1">
    <w:name w:val="toc 1"/>
    <w:basedOn w:val="Normal"/>
    <w:next w:val="Normal"/>
    <w:autoRedefine/>
    <w:uiPriority w:val="39"/>
    <w:unhideWhenUsed/>
    <w:rsid w:val="0002131d"/>
    <w:pPr>
      <w:spacing w:before="0" w:after="100"/>
    </w:pPr>
    <w:rPr/>
  </w:style>
  <w:style w:type="paragraph" w:styleId="TOC2">
    <w:name w:val="toc 2"/>
    <w:basedOn w:val="Normal"/>
    <w:next w:val="Normal"/>
    <w:autoRedefine/>
    <w:uiPriority w:val="39"/>
    <w:unhideWhenUsed/>
    <w:rsid w:val="0002131d"/>
    <w:pPr>
      <w:spacing w:before="0" w:after="100"/>
      <w:ind w:left="220"/>
    </w:pPr>
    <w:rPr/>
  </w:style>
  <w:style w:type="paragraph" w:styleId="TOC3">
    <w:name w:val="toc 3"/>
    <w:basedOn w:val="Normal"/>
    <w:next w:val="Normal"/>
    <w:autoRedefine/>
    <w:uiPriority w:val="39"/>
    <w:unhideWhenUsed/>
    <w:rsid w:val="00c041fe"/>
    <w:pPr>
      <w:spacing w:before="0" w:after="100"/>
      <w:ind w:left="440"/>
    </w:pPr>
    <w:rPr/>
  </w:style>
  <w:style w:type="paragraph" w:styleId="CommentText">
    <w:name w:val="annotation text"/>
    <w:basedOn w:val="Normal"/>
    <w:link w:val="CommentTextChar"/>
    <w:uiPriority w:val="99"/>
    <w:unhideWhenUsed/>
    <w:rsid w:val="00f94ca4"/>
    <w:pPr/>
    <w:rPr>
      <w:sz w:val="20"/>
      <w:szCs w:val="20"/>
    </w:rPr>
  </w:style>
  <w:style w:type="paragraph" w:styleId="annotationsubject">
    <w:name w:val="annotation subject"/>
    <w:basedOn w:val="CommentText"/>
    <w:next w:val="CommentText"/>
    <w:link w:val="CommentSubjectChar"/>
    <w:uiPriority w:val="99"/>
    <w:semiHidden/>
    <w:unhideWhenUsed/>
    <w:qFormat/>
    <w:rsid w:val="00f94ca4"/>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76441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Relationships>
</file>

<file path=word/theme/theme1.xml><?xml version="1.0" encoding="utf-8"?>
<a:theme xmlns:a="http://schemas.openxmlformats.org/drawingml/2006/main" xmlns:r="http://schemas.openxmlformats.org/officeDocument/2006/relationships" name="Office Theme">
  <a:themeElements>
    <a:clrScheme name="ELEKS 2025">
      <a:dk1>
        <a:srgbClr val="000000"/>
      </a:dk1>
      <a:lt1>
        <a:srgbClr val="ffffff"/>
      </a:lt1>
      <a:dk2>
        <a:srgbClr val="1e1d28"/>
      </a:dk2>
      <a:lt2>
        <a:srgbClr val="f1f4fa"/>
      </a:lt2>
      <a:accent1>
        <a:srgbClr val="0045e6"/>
      </a:accent1>
      <a:accent2>
        <a:srgbClr val="5ec3d5"/>
      </a:accent2>
      <a:accent3>
        <a:srgbClr val="9c86e3"/>
      </a:accent3>
      <a:accent4>
        <a:srgbClr val="0fb57b"/>
      </a:accent4>
      <a:accent5>
        <a:srgbClr val="ffc130"/>
      </a:accent5>
      <a:accent6>
        <a:srgbClr val="ff383b"/>
      </a:accent6>
      <a:hlink>
        <a:srgbClr val="0045e6"/>
      </a:hlink>
      <a:folHlink>
        <a:srgbClr val="0045e6"/>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a0e3154-6b99-4da6-b1ce-8f52728b995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11" ma:contentTypeDescription="Create a new document." ma:contentTypeScope="" ma:versionID="24defc826c77082ddd4ab631d8c61fae">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021c29e3b689fc8881e2cbb8872ec39e"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530e2d-b1ea-4ada-8c7e-d095980ec34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38FF3E-8B5E-47CB-8706-4BC5C0D0F924}">
  <ds:schemaRefs>
    <ds:schemaRef ds:uri="http://schemas.microsoft.com/office/2006/metadata/properties"/>
    <ds:schemaRef ds:uri="http://schemas.microsoft.com/office/infopath/2007/PartnerControls"/>
    <ds:schemaRef ds:uri="http://schemas.microsoft.com/sharepoint/v3"/>
    <ds:schemaRef ds:uri="7a0e3154-6b99-4da6-b1ce-8f52728b9954"/>
  </ds:schemaRefs>
</ds:datastoreItem>
</file>

<file path=customXml/itemProps2.xml><?xml version="1.0" encoding="utf-8"?>
<ds:datastoreItem xmlns:ds="http://schemas.openxmlformats.org/officeDocument/2006/customXml" ds:itemID="{80F9A71A-92AE-9E4F-98A9-4CDCD3AF676D}">
  <ds:schemaRefs>
    <ds:schemaRef ds:uri="http://schemas.openxmlformats.org/officeDocument/2006/bibliography"/>
  </ds:schemaRefs>
</ds:datastoreItem>
</file>

<file path=customXml/itemProps3.xml><?xml version="1.0" encoding="utf-8"?>
<ds:datastoreItem xmlns:ds="http://schemas.openxmlformats.org/officeDocument/2006/customXml" ds:itemID="{1A4CB650-039B-46D0-8BC8-7909BD0142D7}">
  <ds:schemaRefs>
    <ds:schemaRef ds:uri="http://schemas.microsoft.com/sharepoint/v3/contenttype/forms"/>
  </ds:schemaRefs>
</ds:datastoreItem>
</file>

<file path=customXml/itemProps4.xml><?xml version="1.0" encoding="utf-8"?>
<ds:datastoreItem xmlns:ds="http://schemas.openxmlformats.org/officeDocument/2006/customXml" ds:itemID="{FA030224-45CA-4B7D-989B-03853FF91B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a0e3154-6b99-4da6-b1ce-8f52728b99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2026-08-25T10:30:00Z</dcterms:created>
  <dc:creator>Alberto Ferrari</dc:creator>
  <dc:description/>
  <dc:language>en-US</dc:language>
  <cp:lastModifiedBy/>
  <dcterms:modified xsi:type="dcterms:W3CDTF">2026-08-25T13:37:30Z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0x010100C36FBA45A6F4D3419D61D78704D979DB</vt:lpwstr>
  </property>
  <property fmtid="{D5CDD505-2E9C-101B-9397-08002B2CF9AE}" pid="4" name="MediaServiceImageTags">
    <vt:lpwstr/>
  </property>
  <property fmtid="{D5CDD505-2E9C-101B-9397-08002B2CF9AE}" pid="5" name="Order">
    <vt:r8>39400</vt:r8>
  </property>
  <property fmtid="{D5CDD505-2E9C-101B-9397-08002B2CF9AE}" pid="6" name="TriggerFlowInfo">
    <vt:lpwstr/>
  </property>
  <property fmtid="{D5CDD505-2E9C-101B-9397-08002B2CF9AE}" pid="7" name="_ExtendedDescription">
    <vt:lpwstr/>
  </property>
</Properties>
</file>