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ucbfqq8tu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Acies AgenticBus: FMCG Portfolio &amp; Product Lifecycle Intelligence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Market Research &amp; Gap Analysis Report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Prepared by: Elite Enterprise Tech Analyst &amp; CPG Strategy Consultant</w:t>
        <w:br w:type="textWrapping"/>
        <w:t xml:space="preserve">Date: June 22,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3lrgqwcp6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Summary: Core Gaps in CPG/FMCG Decision-Support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FMCG/CPG industry faces a critical decision-support gap: </w:t>
      </w:r>
      <w:r w:rsidDel="00000000" w:rsidR="00000000" w:rsidRPr="00000000">
        <w:rPr>
          <w:b w:val="1"/>
          <w:bCs w:val="1"/>
          <w:rtl w:val="0"/>
        </w:rPr>
        <w:t xml:space="preserve">traditional ERP/BI systems cannot deliver real-time, event-driven portfolio intelligence</w:t>
      </w:r>
      <w:r w:rsidDel="00000000" w:rsidR="00000000" w:rsidRPr="00000000">
        <w:rPr>
          <w:rtl w:val="0"/>
        </w:rPr>
        <w:t xml:space="preserve">. Mid-market to enterprise FMCG companies rely on SAP S/4HANA, Oracle Agile PLM, Tableau, and Trade Promotion Management tools, but these systems suffer from </w:t>
      </w:r>
      <w:r w:rsidDel="00000000" w:rsidR="00000000" w:rsidRPr="00000000">
        <w:rPr>
          <w:b w:val="1"/>
          <w:bCs w:val="1"/>
          <w:rtl w:val="0"/>
        </w:rPr>
        <w:t xml:space="preserve">6-week decision latency</w:t>
      </w:r>
      <w:r w:rsidDel="00000000" w:rsidR="00000000" w:rsidRPr="00000000">
        <w:rPr>
          <w:rtl w:val="0"/>
        </w:rPr>
        <w:t xml:space="preserve">, manual Excel consolidation, and lack of real-time simulation capabilities.[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scribd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gaps validated by 2024–2026 research: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velocity</w:t>
      </w:r>
      <w:r w:rsidDel="00000000" w:rsidR="00000000" w:rsidRPr="00000000">
        <w:rPr>
          <w:rtl w:val="0"/>
        </w:rPr>
        <w:t xml:space="preserve">: Exception-based management reduces SKU decision latency from 6 weeks to &lt;2 weeks[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truegradient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SKU margin erosion</w:t>
      </w:r>
      <w:r w:rsidDel="00000000" w:rsidR="00000000" w:rsidRPr="00000000">
        <w:rPr>
          <w:rtl w:val="0"/>
        </w:rPr>
        <w:t xml:space="preserve">: Long-tail SKUs (72% of portfolios) drive minimal margin; pruning increases margins by 100–400 basis points[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bain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 gate readiness</w:t>
      </w:r>
      <w:r w:rsidDel="00000000" w:rsidR="00000000" w:rsidRPr="00000000">
        <w:rPr>
          <w:rtl w:val="0"/>
        </w:rPr>
        <w:t xml:space="preserve">: AI-powered tools reduce time-to-market by enabling real-time launch simulation[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tastewise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ideal customer profile is </w:t>
      </w:r>
      <w:r w:rsidDel="00000000" w:rsidR="00000000" w:rsidRPr="00000000">
        <w:rPr>
          <w:b w:val="1"/>
          <w:bCs w:val="1"/>
          <w:rtl w:val="0"/>
        </w:rPr>
        <w:t xml:space="preserve">Tier 2 mid-market companies ($100M–$3B revenue, 100–1,000+ SKUs)</w:t>
      </w:r>
      <w:r w:rsidDel="00000000" w:rsidR="00000000" w:rsidRPr="00000000">
        <w:rPr>
          <w:rtl w:val="0"/>
        </w:rPr>
        <w:t xml:space="preserve"> that have outgrown Excel but lack custom software budgets of Tier 1 conglomerates.[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truegradient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b4wt3gvsn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Market Segmentation Analysis: Defining the Target Customer Range (ICP)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xt9ap3log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FMCG/CPG Company Segmentation by Revenue &amp; SKU Complexity</w:t>
      </w:r>
    </w:p>
    <w:tbl>
      <w:tblPr>
        <w:tblStyle w:val="Table1"/>
        <w:tblW w:w="9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1325"/>
        <w:gridCol w:w="1205"/>
        <w:gridCol w:w="2120"/>
        <w:gridCol w:w="2960"/>
        <w:tblGridChange w:id="0">
          <w:tblGrid>
            <w:gridCol w:w="2120"/>
            <w:gridCol w:w="1325"/>
            <w:gridCol w:w="1205"/>
            <w:gridCol w:w="2120"/>
            <w:gridCol w:w="296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SKU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Tooling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1 (Conglomerates)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$3B+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1,000–10,000+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Custom control towers + SAP + Oracle Agile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Low gap (have budget for custom solutions)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2 (Mid-Market)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$100M–$3B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100–1,000+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SAP S/4HANA + Excel + Tableau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GAP</w:t>
            </w:r>
            <w:r w:rsidDel="00000000" w:rsidR="00000000" w:rsidRPr="00000000">
              <w:rPr>
                <w:rtl w:val="0"/>
              </w:rPr>
              <w:t xml:space="preserve"> (outgrew Excel, no custom budget) [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truegradient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3 (Small)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&lt;$100M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100–500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Excel-only + basic ERP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Moderate gap (Excel still viable)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aeo7xpi8j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 Segment: Tier 2 Mid-Market Companies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segment lacks real-time dashboards: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Legacy TPO platforms were "built for scale, not agility" — designed for Fortune 500 with massive IT budgets[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truegradient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Implementations stretch </w:t>
      </w:r>
      <w:r w:rsidDel="00000000" w:rsidR="00000000" w:rsidRPr="00000000">
        <w:rPr>
          <w:b w:val="1"/>
          <w:bCs w:val="1"/>
          <w:rtl w:val="0"/>
        </w:rPr>
        <w:t xml:space="preserve">months</w:t>
      </w:r>
      <w:r w:rsidDel="00000000" w:rsidR="00000000" w:rsidRPr="00000000">
        <w:rPr>
          <w:rtl w:val="0"/>
        </w:rPr>
        <w:t xml:space="preserve"> with expensive consulting bottlenecks before insights appear[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truegradient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never reach breakeven ROI before business priorities shift, leaving platforms as "shelfware"[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truegradient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gt85rgerx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Exact Pain Points for Tier 2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6410"/>
        <w:tblGridChange w:id="0">
          <w:tblGrid>
            <w:gridCol w:w="2810"/>
            <w:gridCol w:w="6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Spreadsheet-heavy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Promotion calendars in Excel limit real-time simulation [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truegradient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Fragmented data silos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POS, shipment, syndicated data (Nielsen/IRI) live separately; stitching is slow [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truegradient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Gut-driven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Decisions default to history/"what retailer wants" rather than evidence [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truegradient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Cannibalization blindness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Lift in promoted product comes at expense of non-promoted SKUs, muddying ROI [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truegradient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8–12 hours/analyst/week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Manual reconciliation between SAP (what should happen) and Excel (what actually happens) [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linkedin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51% HQ capability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HQ lacks capabilities to support pricing, trade allocations, go-to-market strategies [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gocrisp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7v2kwlmwz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ERP &amp; BI Deficiency Audit: Why Standard Tools Fall Short of Agentic Simulations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ca9lk6ksg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Software Systems in Mid-Market to Enterprise FMCG</w:t>
      </w:r>
    </w:p>
    <w:tbl>
      <w:tblPr>
        <w:tblStyle w:val="Table3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2435"/>
        <w:gridCol w:w="4580"/>
        <w:tblGridChange w:id="0">
          <w:tblGrid>
            <w:gridCol w:w="2375"/>
            <w:gridCol w:w="2435"/>
            <w:gridCol w:w="4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Friction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SAP S/4HANA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Core ERP, margin tracking, SKU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Manages what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  <w:t xml:space="preserve"> happen; gap with Excel widens daily; lacks real-time demand forecasting algorithms [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kudossolutions.co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Oracle Agile PLM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Product lifecycle management, BOMs, change 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Requires Excel exports for data migration; support ends 2027 forcing migration; change cycle times slow [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docs.oracle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BI dashboards, sales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Depends on data quality; requires manual SQL/ERP connections; auto-refresh scheduled (not true real-time) [</w:t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panthsoftech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 Promotion Management (Legacy TPO)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Promotion optimization, trade 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Black-box analytics collapse in fast-moving environments; clunky UX sends planners back to Excel [</w:t>
            </w: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truegradient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6mbactt0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Friction of Traditional Setups</w:t>
      </w:r>
    </w:p>
    <w:tbl>
      <w:tblPr>
        <w:tblStyle w:val="Table4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470"/>
        <w:gridCol w:w="3785"/>
        <w:tblGridChange w:id="0">
          <w:tblGrid>
            <w:gridCol w:w="2135"/>
            <w:gridCol w:w="3470"/>
            <w:gridCol w:w="3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Friction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6-week decision latency for SKU decisions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Missed market opportunities; margin erosion [</w:t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truegradient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Excel consolidation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8–12 hours/analyst/week for reconciliation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Working capital locked; reaction time in days vs. hours [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linkedin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real-time simulations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Promotion calendars built in Excel; cannot run simulations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50%+ promotions fail to break even after cannibalization [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truegradient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silos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POS, shipment, retailer portals separate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$50M leakage for $500M company wasting half trade spend [</w:t>
            </w: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truegradient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Poor planner 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Clunky UX sends users to Excel comfort zones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Platforms become shelfware; ROI not achieved [</w:t>
            </w: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truegradient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insight:</w:t>
      </w:r>
      <w:r w:rsidDel="00000000" w:rsidR="00000000" w:rsidRPr="00000000">
        <w:rPr>
          <w:rtl w:val="0"/>
        </w:rPr>
        <w:t xml:space="preserve"> Traditional ERPs lack advanced algorithms and real-time data processing for precise demand forecasting in changing FMCG environments.[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kudossolutions.co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ch4pakd9y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ROI Mapping: Financial Benefits of Real-Time SKU Sunsetting and Launch Gate Coordination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045b9ahv6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Authoritative Market Studies (2024–2026)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ggyp63sp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Transitioning to Exception-Based Decision Management (Decision Velocity)</w:t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3830"/>
        <w:gridCol w:w="3485"/>
        <w:tblGridChange w:id="0">
          <w:tblGrid>
            <w:gridCol w:w="2060"/>
            <w:gridCol w:w="3830"/>
            <w:gridCol w:w="3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Decision latency reduction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 weeks to &lt;2 weeks</w:t>
            </w:r>
            <w:r w:rsidDel="00000000" w:rsidR="00000000" w:rsidRPr="00000000">
              <w:rPr>
                <w:rtl w:val="0"/>
              </w:rPr>
              <w:t xml:space="preserve"> using exception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McKinsey (via Trade Promotion Optimization research) [</w:t>
            </w: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truegradient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Promotion ROI improvement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AI-powered TPO enables scenario simulations for best recommendations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TrueGradient 2026 [</w:t>
            </w: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truegradient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Planner adoption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Excel-like usability with embedded intelligence drives ROI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TrueGradient 2026 [</w:t>
            </w: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truegradient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b4ux6kw7u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Financial Lift from SKU Pruning/Rationalization &amp; Long-Tail SKU Margin Erosion</w:t>
      </w:r>
    </w:p>
    <w:tbl>
      <w:tblPr>
        <w:tblStyle w:val="Table6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4385"/>
        <w:gridCol w:w="2450"/>
        <w:tblGridChange w:id="0">
          <w:tblGrid>
            <w:gridCol w:w="2570"/>
            <w:gridCol w:w="4385"/>
            <w:gridCol w:w="2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Sales growth increase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2–5 percentage points</w:t>
            </w:r>
            <w:r w:rsidDel="00000000" w:rsidR="00000000" w:rsidRPr="00000000">
              <w:rPr>
                <w:rtl w:val="0"/>
              </w:rPr>
              <w:t xml:space="preserve"> from reducing SKU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Bain Consumer Products Report 2025 [</w:t>
            </w: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bain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Gross margin improvement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100–400 basis points</w:t>
            </w:r>
            <w:r w:rsidDel="00000000" w:rsidR="00000000" w:rsidRPr="00000000">
              <w:rPr>
                <w:rtl w:val="0"/>
              </w:rPr>
              <w:t xml:space="preserve"> from SKU simplification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Bain Consumer Products Report 2025 [</w:t>
            </w: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bain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Repeatable commercial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3–5 percentage points</w:t>
            </w:r>
            <w:r w:rsidDel="00000000" w:rsidR="00000000" w:rsidRPr="00000000">
              <w:rPr>
                <w:rtl w:val="0"/>
              </w:rPr>
              <w:t xml:space="preserve"> sales growth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200–300 basis points</w:t>
            </w:r>
            <w:r w:rsidDel="00000000" w:rsidR="00000000" w:rsidRPr="00000000">
              <w:rPr>
                <w:rtl w:val="0"/>
              </w:rPr>
              <w:t xml:space="preserve"> margin from assortment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Bain 2025 (via Tellius) [</w:t>
            </w: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tellius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Class A SKUs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Just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28% of portfolio</w:t>
            </w:r>
            <w:r w:rsidDel="00000000" w:rsidR="00000000" w:rsidRPr="00000000">
              <w:rPr>
                <w:rtl w:val="0"/>
              </w:rPr>
              <w:t xml:space="preserve"> drive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80% of cumulative gross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Strategy&amp; (PwC) [</w:t>
            </w: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tellius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Underperforming SKUs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83% of SKUs underperform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Tellius 2026 [</w:t>
            </w: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tellius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Revenue/margin impact (McKinsey 2016)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1–4% net revenue increase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3–6% margin improvement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10–25% asset productivity</w:t>
            </w:r>
            <w:r w:rsidDel="00000000" w:rsidR="00000000" w:rsidRPr="00000000">
              <w:rPr>
                <w:rtl w:val="0"/>
              </w:rPr>
              <w:t xml:space="preserve"> when trimming SKUs 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McKinsey (legacy but authoritative) [</w:t>
            </w: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mckinsey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kmj7gsjps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Sourcing and Launch Gate Readiness Metrics (Time-to-Market)</w:t>
      </w:r>
    </w:p>
    <w:tbl>
      <w:tblPr>
        <w:tblStyle w:val="Table7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4940"/>
        <w:gridCol w:w="2645"/>
        <w:tblGridChange w:id="0">
          <w:tblGrid>
            <w:gridCol w:w="1805"/>
            <w:gridCol w:w="4940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Time-to-market reduction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AI integrates consumer evidence into development; reduces time-to-market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Tastewise CPG Innovation 2026 [</w:t>
            </w: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tastewise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Launch gate simulation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 4: Launch Readiness</w:t>
            </w:r>
            <w:r w:rsidDel="00000000" w:rsidR="00000000" w:rsidRPr="00000000">
              <w:rPr>
                <w:rtl w:val="0"/>
              </w:rPr>
              <w:t xml:space="preserve"> requires full launch simulation with 60–80 consumers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UserIntuition 2026 [</w:t>
            </w: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userintuition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Innovation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Modern process identifies whitespace via consumer behavior data, validates with surveys/synthetic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Tastewise 2026 [</w:t>
            </w: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tastewise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blfcsl8hp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Verified Evidence Table: Complete List of Audited Sources, Findings, and Verified Links</w:t>
      </w:r>
    </w:p>
    <w:tbl>
      <w:tblPr>
        <w:tblStyle w:val="Table8"/>
        <w:tblW w:w="10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3050"/>
        <w:gridCol w:w="1520"/>
        <w:gridCol w:w="1400"/>
        <w:gridCol w:w="2120"/>
        <w:tblGridChange w:id="0">
          <w:tblGrid>
            <w:gridCol w:w="2060"/>
            <w:gridCol w:w="3050"/>
            <w:gridCol w:w="1520"/>
            <w:gridCol w:w="1400"/>
            <w:gridCol w:w="212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/ 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Finding / Business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Publisher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Publication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Tower Market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Global control tower revenue: $9.6B (2023) → $20B+ (2030), 13.12% CAGR; FMCG leading adoption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ABI 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SCCT Seller Guide</w:t>
              </w:r>
            </w:hyperlink>
            <w:r w:rsidDel="00000000" w:rsidR="00000000" w:rsidRPr="00000000">
              <w:rPr>
                <w:rtl w:val="0"/>
              </w:rPr>
              <w:t xml:space="preserve"> [</w:t>
            </w: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go.abiresearch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Mid-Market TPO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Legacy TPO overpromised/underdelivered for $100M–$2B range; spreadsheet-heavy workflows limit simulation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TrueGradient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February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Trade Promotion Optimization</w:t>
              </w:r>
            </w:hyperlink>
            <w:r w:rsidDel="00000000" w:rsidR="00000000" w:rsidRPr="00000000">
              <w:rPr>
                <w:rtl w:val="0"/>
              </w:rPr>
              <w:t xml:space="preserve"> [</w:t>
            </w: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truegradient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SKU Complexity ROI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Reducing SKU complexity: +2–5% sales growth, +100–400 basis points margins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Bain &amp; 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February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Consumer Products Report 2025</w:t>
              </w:r>
            </w:hyperlink>
            <w:r w:rsidDel="00000000" w:rsidR="00000000" w:rsidRPr="00000000">
              <w:rPr>
                <w:rtl w:val="0"/>
              </w:rPr>
              <w:t xml:space="preserve"> [</w:t>
            </w:r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bain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Assortment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Repeatable commercial model: +3–5% sales growth, +200–300 basis points gross margin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Bain &amp; Company (via Tellius)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February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hyperlink r:id="rId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Assortment Optimization</w:t>
              </w:r>
            </w:hyperlink>
            <w:r w:rsidDel="00000000" w:rsidR="00000000" w:rsidRPr="00000000">
              <w:rPr>
                <w:rtl w:val="0"/>
              </w:rPr>
              <w:t xml:space="preserve"> [</w:t>
            </w:r>
            <w:hyperlink r:id="rId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tellius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A SKUs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28% of portfolio drives 80% of cumulative gross margin; 72% is along for ride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Strategy&amp; (PwC) (via Tellius)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hyperlink r:id="rId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Assortment Optimization</w:t>
              </w:r>
            </w:hyperlink>
            <w:r w:rsidDel="00000000" w:rsidR="00000000" w:rsidRPr="00000000">
              <w:rPr>
                <w:rtl w:val="0"/>
              </w:rPr>
              <w:t xml:space="preserve"> [</w:t>
            </w:r>
            <w:hyperlink r:id="rId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tellius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SAP-Excel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8–12 hours/analyst/week manual reconciliation; gap widens daily; blocked inventory not in planning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LinkedIn (CPG industry post)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May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hyperlink r:id="rId5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CPG SAP-Excel Gaps</w:t>
              </w:r>
            </w:hyperlink>
            <w:r w:rsidDel="00000000" w:rsidR="00000000" w:rsidRPr="00000000">
              <w:rPr>
                <w:rtl w:val="0"/>
              </w:rPr>
              <w:t xml:space="preserve"> [</w:t>
            </w:r>
            <w:hyperlink r:id="rId5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linkedin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HQ Capability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51% HQ lacks capabilities for pricing, trade allocations, go-to-market strategies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Promotion Optimization Institute (via Crisp)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hyperlink r:id="rId5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Data &amp; AI Revenue Growth</w:t>
              </w:r>
            </w:hyperlink>
            <w:r w:rsidDel="00000000" w:rsidR="00000000" w:rsidRPr="00000000">
              <w:rPr>
                <w:rtl w:val="0"/>
              </w:rPr>
              <w:t xml:space="preserve"> [</w:t>
            </w:r>
            <w:hyperlink r:id="rId5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gocrisp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ERP Limitations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Traditional ERPs lack advanced algorithms + real-time processing for precise FMCG demand forecasting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Kudos Solutions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November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hyperlink r:id="rId5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FMCG ERP Challenges</w:t>
              </w:r>
            </w:hyperlink>
            <w:r w:rsidDel="00000000" w:rsidR="00000000" w:rsidRPr="00000000">
              <w:rPr>
                <w:rtl w:val="0"/>
              </w:rPr>
              <w:t xml:space="preserve"> [</w:t>
            </w:r>
            <w:hyperlink r:id="rId5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kudossolutions.co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 Gate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Gate 4 requires full launch simulation with 60–80 consumers in final packaging/shelf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UserIntuition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March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hyperlink r:id="rId5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Customer Voice in Innovation</w:t>
              </w:r>
            </w:hyperlink>
            <w:r w:rsidDel="00000000" w:rsidR="00000000" w:rsidRPr="00000000">
              <w:rPr>
                <w:rtl w:val="0"/>
              </w:rPr>
              <w:t xml:space="preserve"> [</w:t>
            </w:r>
            <w:hyperlink r:id="rId6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userintuition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Time-to-Market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AI integrates consumer evidence into development; reduces time-to-market via whitespace identification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Tastewise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March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hyperlink r:id="rId6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CPG Innovation 2026</w:t>
              </w:r>
            </w:hyperlink>
            <w:r w:rsidDel="00000000" w:rsidR="00000000" w:rsidRPr="00000000">
              <w:rPr>
                <w:rtl w:val="0"/>
              </w:rPr>
              <w:t xml:space="preserve"> [</w:t>
            </w:r>
            <w:hyperlink r:id="rId6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tastewise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Underperforming SKUs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83% of SKUs underperform in typical CPG portfolios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Tellius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February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hyperlink r:id="rId6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Assortment Optimization</w:t>
              </w:r>
            </w:hyperlink>
            <w:r w:rsidDel="00000000" w:rsidR="00000000" w:rsidRPr="00000000">
              <w:rPr>
                <w:rtl w:val="0"/>
              </w:rPr>
              <w:t xml:space="preserve"> [</w:t>
            </w:r>
            <w:hyperlink r:id="rId6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tellius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h5koc0jxb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Recommendation: Acies AgenticBus Validation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Acies AgenticBus: FMCG Portfolio &amp; Product Lifecycle Intelligence</w:t>
      </w:r>
      <w:r w:rsidDel="00000000" w:rsidR="00000000" w:rsidRPr="00000000">
        <w:rPr>
          <w:rtl w:val="0"/>
        </w:rPr>
        <w:t xml:space="preserve"> targets the validated gap: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Segment</w:t>
      </w:r>
      <w:r w:rsidDel="00000000" w:rsidR="00000000" w:rsidRPr="00000000">
        <w:rPr>
          <w:rtl w:val="0"/>
        </w:rPr>
        <w:t xml:space="preserve">: Tier 2 mid-market FMCG ($100M–$3B revenue, 100–1,000+ SKUs)[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truegradient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Value</w:t>
      </w:r>
      <w:r w:rsidDel="00000000" w:rsidR="00000000" w:rsidRPr="00000000">
        <w:rPr>
          <w:rtl w:val="0"/>
        </w:rPr>
        <w:t xml:space="preserve">: Real-time, event-driven control tower replacing 6-week latency with &lt;2-week decision velocity[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truegradient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</w:t>
      </w:r>
      <w:r w:rsidDel="00000000" w:rsidR="00000000" w:rsidRPr="00000000">
        <w:rPr>
          <w:rtl w:val="0"/>
        </w:rPr>
        <w:t xml:space="preserve">: +2–5% sales growth, +100–400 basis points margins via SKU pruning[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bain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Differentiation</w:t>
      </w:r>
      <w:r w:rsidDel="00000000" w:rsidR="00000000" w:rsidRPr="00000000">
        <w:rPr>
          <w:rtl w:val="0"/>
        </w:rPr>
        <w:t xml:space="preserve">: AI-native SaaS with 6–12 week pilots (vs. months for legacy), Excel-like usability for planner adoption[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truegradient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business case is strong</w:t>
      </w:r>
      <w:r w:rsidDel="00000000" w:rsidR="00000000" w:rsidRPr="00000000">
        <w:rPr>
          <w:rtl w:val="0"/>
        </w:rPr>
        <w:t xml:space="preserve">: Mid-market CPGs waste $50M on failed promotions (for $500M company); AI-powered TPO + real-time portfolio intelligence can transform this leakage into profit.[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truegradient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tastewise.io/blog/cpg-innovation" TargetMode="External"/><Relationship Id="rId42" Type="http://schemas.openxmlformats.org/officeDocument/2006/relationships/hyperlink" Target="https://tastewise.io/blog/cpg-innovation" TargetMode="External"/><Relationship Id="rId41" Type="http://schemas.openxmlformats.org/officeDocument/2006/relationships/hyperlink" Target="https://www.userintuition.ai/reference-guides/customer-voice-product-innovation-cpg/" TargetMode="External"/><Relationship Id="rId44" Type="http://schemas.openxmlformats.org/officeDocument/2006/relationships/hyperlink" Target="https://go.abiresearch.com/hubfs/Blog/Blog%20PDFs/SCCT%20Seller%20Guide.pdf" TargetMode="External"/><Relationship Id="rId43" Type="http://schemas.openxmlformats.org/officeDocument/2006/relationships/hyperlink" Target="https://go.abiresearch.com/hubfs/Blog/Blog%20PDFs/SCCT%20Seller%20Guide.pdf" TargetMode="External"/><Relationship Id="rId46" Type="http://schemas.openxmlformats.org/officeDocument/2006/relationships/hyperlink" Target="https://truegradient.ai/resources/blogs/trade-promotion-optimization-for-mid-scale-cpgs-why-ai-will-finally-deliver-value" TargetMode="External"/><Relationship Id="rId45" Type="http://schemas.openxmlformats.org/officeDocument/2006/relationships/hyperlink" Target="https://truegradient.ai/resources/blogs/trade-promotion-optimization-for-mid-scale-cpgs-why-ai-will-finally-deliver-val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astewise.io/blog/cpg-innovation" TargetMode="External"/><Relationship Id="rId48" Type="http://schemas.openxmlformats.org/officeDocument/2006/relationships/hyperlink" Target="https://www.bain.com/insights/consumer-products-report-2025-reclaiming-relevance-in-the-gen-ai-era/" TargetMode="External"/><Relationship Id="rId47" Type="http://schemas.openxmlformats.org/officeDocument/2006/relationships/hyperlink" Target="https://www.bain.com/insights/consumer-products-report-2025-reclaiming-relevance-in-the-gen-ai-era/" TargetMode="External"/><Relationship Id="rId49" Type="http://schemas.openxmlformats.org/officeDocument/2006/relationships/hyperlink" Target="https://www.tellius.com/resources/blog/assortment-optimization-for-cpg-why-your-portfolio-decisions-are-running-on-half-the-available-intellige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cribd.com/presentation/822796996/BI-in-FMCG" TargetMode="External"/><Relationship Id="rId7" Type="http://schemas.openxmlformats.org/officeDocument/2006/relationships/hyperlink" Target="https://truegradient.ai/resources/blogs/trade-promotion-optimization-for-mid-scale-cpgs-why-ai-will-finally-deliver-value" TargetMode="External"/><Relationship Id="rId8" Type="http://schemas.openxmlformats.org/officeDocument/2006/relationships/hyperlink" Target="https://www.bain.com/insights/consumer-products-report-2025-reclaiming-relevance-in-the-gen-ai-era/" TargetMode="External"/><Relationship Id="rId31" Type="http://schemas.openxmlformats.org/officeDocument/2006/relationships/hyperlink" Target="https://truegradient.ai/resources/blogs/trade-promotion-optimization-for-mid-scale-cpgs-why-ai-will-finally-deliver-value" TargetMode="External"/><Relationship Id="rId30" Type="http://schemas.openxmlformats.org/officeDocument/2006/relationships/hyperlink" Target="https://www.kudossolutions.co.uk/unique-challenges-in-the-fmcg-industry-that-necessitate-specialised-erp-solutions-add-ons/" TargetMode="External"/><Relationship Id="rId33" Type="http://schemas.openxmlformats.org/officeDocument/2006/relationships/hyperlink" Target="https://truegradient.ai/resources/blogs/trade-promotion-optimization-for-mid-scale-cpgs-why-ai-will-finally-deliver-value" TargetMode="External"/><Relationship Id="rId32" Type="http://schemas.openxmlformats.org/officeDocument/2006/relationships/hyperlink" Target="https://truegradient.ai/resources/blogs/trade-promotion-optimization-for-mid-scale-cpgs-why-ai-will-finally-deliver-value" TargetMode="External"/><Relationship Id="rId35" Type="http://schemas.openxmlformats.org/officeDocument/2006/relationships/hyperlink" Target="https://www.bain.com/insights/consumer-products-report-2025-reclaiming-relevance-in-the-gen-ai-era/" TargetMode="External"/><Relationship Id="rId34" Type="http://schemas.openxmlformats.org/officeDocument/2006/relationships/hyperlink" Target="https://www.bain.com/insights/consumer-products-report-2025-reclaiming-relevance-in-the-gen-ai-era/" TargetMode="External"/><Relationship Id="rId37" Type="http://schemas.openxmlformats.org/officeDocument/2006/relationships/hyperlink" Target="https://www.tellius.com/resources/blog/assortment-optimization-for-cpg-why-your-portfolio-decisions-are-running-on-half-the-available-intelligence" TargetMode="External"/><Relationship Id="rId36" Type="http://schemas.openxmlformats.org/officeDocument/2006/relationships/hyperlink" Target="https://www.tellius.com/resources/blog/assortment-optimization-for-cpg-why-your-portfolio-decisions-are-running-on-half-the-available-intelligence" TargetMode="External"/><Relationship Id="rId39" Type="http://schemas.openxmlformats.org/officeDocument/2006/relationships/hyperlink" Target="https://www.mckinsey.com/industries/consumer-packaged-goods/our-insights/simpler-is-sometimes-better-managing-complexity-in-consumer-goods" TargetMode="External"/><Relationship Id="rId38" Type="http://schemas.openxmlformats.org/officeDocument/2006/relationships/hyperlink" Target="https://www.tellius.com/resources/blog/assortment-optimization-for-cpg-why-your-portfolio-decisions-are-running-on-half-the-available-intelligence" TargetMode="External"/><Relationship Id="rId62" Type="http://schemas.openxmlformats.org/officeDocument/2006/relationships/hyperlink" Target="https://tastewise.io/blog/cpg-innovation" TargetMode="External"/><Relationship Id="rId61" Type="http://schemas.openxmlformats.org/officeDocument/2006/relationships/hyperlink" Target="https://tastewise.io/blog/cpg-innovation" TargetMode="External"/><Relationship Id="rId20" Type="http://schemas.openxmlformats.org/officeDocument/2006/relationships/hyperlink" Target="https://www.gocrisp.com/blog/data-and-ai-driven-revenue-growth-secrets-for-retail" TargetMode="External"/><Relationship Id="rId64" Type="http://schemas.openxmlformats.org/officeDocument/2006/relationships/hyperlink" Target="https://www.tellius.com/resources/blog/assortment-optimization-for-cpg-why-your-portfolio-decisions-are-running-on-half-the-available-intelligence" TargetMode="External"/><Relationship Id="rId63" Type="http://schemas.openxmlformats.org/officeDocument/2006/relationships/hyperlink" Target="https://www.tellius.com/resources/blog/assortment-optimization-for-cpg-why-your-portfolio-decisions-are-running-on-half-the-available-intelligence" TargetMode="External"/><Relationship Id="rId22" Type="http://schemas.openxmlformats.org/officeDocument/2006/relationships/hyperlink" Target="https://docs.oracle.com/en/cloud/saas/supply-chain-and-manufacturing/26a/faipr/export-agile-plm-data.html" TargetMode="External"/><Relationship Id="rId66" Type="http://schemas.openxmlformats.org/officeDocument/2006/relationships/hyperlink" Target="https://truegradient.ai/resources/blogs/trade-promotion-optimization-for-mid-scale-cpgs-why-ai-will-finally-deliver-value" TargetMode="External"/><Relationship Id="rId21" Type="http://schemas.openxmlformats.org/officeDocument/2006/relationships/hyperlink" Target="https://www.kudossolutions.co.uk/unique-challenges-in-the-fmcg-industry-that-necessitate-specialised-erp-solutions-add-ons/" TargetMode="External"/><Relationship Id="rId65" Type="http://schemas.openxmlformats.org/officeDocument/2006/relationships/hyperlink" Target="https://truegradient.ai/resources/blogs/trade-promotion-optimization-for-mid-scale-cpgs-why-ai-will-finally-deliver-value" TargetMode="External"/><Relationship Id="rId24" Type="http://schemas.openxmlformats.org/officeDocument/2006/relationships/hyperlink" Target="https://truegradient.ai/resources/blogs/trade-promotion-optimization-for-mid-scale-cpgs-why-ai-will-finally-deliver-value" TargetMode="External"/><Relationship Id="rId68" Type="http://schemas.openxmlformats.org/officeDocument/2006/relationships/hyperlink" Target="https://truegradient.ai/resources/blogs/trade-promotion-optimization-for-mid-scale-cpgs-why-ai-will-finally-deliver-value" TargetMode="External"/><Relationship Id="rId23" Type="http://schemas.openxmlformats.org/officeDocument/2006/relationships/hyperlink" Target="https://www.panthsoftech.com/tableau-fmcg-sales-dashboard-tutorial/" TargetMode="External"/><Relationship Id="rId67" Type="http://schemas.openxmlformats.org/officeDocument/2006/relationships/hyperlink" Target="https://www.bain.com/insights/consumer-products-report-2025-reclaiming-relevance-in-the-gen-ai-era/" TargetMode="External"/><Relationship Id="rId60" Type="http://schemas.openxmlformats.org/officeDocument/2006/relationships/hyperlink" Target="https://www.userintuition.ai/reference-guides/customer-voice-product-innovation-cpg/" TargetMode="External"/><Relationship Id="rId26" Type="http://schemas.openxmlformats.org/officeDocument/2006/relationships/hyperlink" Target="https://www.linkedin.com/posts/nijansh_most-enterprise-cpg-teams-have-the-same-setup-activity-7458127287172124672-fSM6" TargetMode="External"/><Relationship Id="rId25" Type="http://schemas.openxmlformats.org/officeDocument/2006/relationships/hyperlink" Target="https://truegradient.ai/resources/blogs/trade-promotion-optimization-for-mid-scale-cpgs-why-ai-will-finally-deliver-value" TargetMode="External"/><Relationship Id="rId69" Type="http://schemas.openxmlformats.org/officeDocument/2006/relationships/hyperlink" Target="https://truegradient.ai/resources/blogs/trade-promotion-optimization-for-mid-scale-cpgs-why-ai-will-finally-deliver-value" TargetMode="External"/><Relationship Id="rId28" Type="http://schemas.openxmlformats.org/officeDocument/2006/relationships/hyperlink" Target="https://truegradient.ai/resources/blogs/trade-promotion-optimization-for-mid-scale-cpgs-why-ai-will-finally-deliver-value" TargetMode="External"/><Relationship Id="rId27" Type="http://schemas.openxmlformats.org/officeDocument/2006/relationships/hyperlink" Target="https://truegradient.ai/resources/blogs/trade-promotion-optimization-for-mid-scale-cpgs-why-ai-will-finally-deliver-value" TargetMode="External"/><Relationship Id="rId29" Type="http://schemas.openxmlformats.org/officeDocument/2006/relationships/hyperlink" Target="https://truegradient.ai/resources/blogs/trade-promotion-optimization-for-mid-scale-cpgs-why-ai-will-finally-deliver-value" TargetMode="External"/><Relationship Id="rId51" Type="http://schemas.openxmlformats.org/officeDocument/2006/relationships/hyperlink" Target="https://www.tellius.com/resources/blog/assortment-optimization-for-cpg-why-your-portfolio-decisions-are-running-on-half-the-available-intelligence" TargetMode="External"/><Relationship Id="rId50" Type="http://schemas.openxmlformats.org/officeDocument/2006/relationships/hyperlink" Target="https://www.tellius.com/resources/blog/assortment-optimization-for-cpg-why-your-portfolio-decisions-are-running-on-half-the-available-intelligence" TargetMode="External"/><Relationship Id="rId53" Type="http://schemas.openxmlformats.org/officeDocument/2006/relationships/hyperlink" Target="https://www.linkedin.com/posts/nijansh_most-enterprise-cpg-teams-have-the-same-setup-activity-7458127287172124672-fSM6" TargetMode="External"/><Relationship Id="rId52" Type="http://schemas.openxmlformats.org/officeDocument/2006/relationships/hyperlink" Target="https://www.tellius.com/resources/blog/assortment-optimization-for-cpg-why-your-portfolio-decisions-are-running-on-half-the-available-intelligence" TargetMode="External"/><Relationship Id="rId11" Type="http://schemas.openxmlformats.org/officeDocument/2006/relationships/hyperlink" Target="https://truegradient.ai/resources/blogs/trade-promotion-optimization-for-mid-scale-cpgs-why-ai-will-finally-deliver-value" TargetMode="External"/><Relationship Id="rId55" Type="http://schemas.openxmlformats.org/officeDocument/2006/relationships/hyperlink" Target="https://www.gocrisp.com/blog/data-and-ai-driven-revenue-growth-secrets-for-retail" TargetMode="External"/><Relationship Id="rId10" Type="http://schemas.openxmlformats.org/officeDocument/2006/relationships/hyperlink" Target="https://truegradient.ai/resources/blogs/trade-promotion-optimization-for-mid-scale-cpgs-why-ai-will-finally-deliver-value" TargetMode="External"/><Relationship Id="rId54" Type="http://schemas.openxmlformats.org/officeDocument/2006/relationships/hyperlink" Target="https://www.linkedin.com/posts/nijansh_most-enterprise-cpg-teams-have-the-same-setup-activity-7458127287172124672-fSM6" TargetMode="External"/><Relationship Id="rId13" Type="http://schemas.openxmlformats.org/officeDocument/2006/relationships/hyperlink" Target="https://truegradient.ai/resources/blogs/trade-promotion-optimization-for-mid-scale-cpgs-why-ai-will-finally-deliver-value" TargetMode="External"/><Relationship Id="rId57" Type="http://schemas.openxmlformats.org/officeDocument/2006/relationships/hyperlink" Target="https://www.kudossolutions.co.uk/unique-challenges-in-the-fmcg-industry-that-necessitate-specialised-erp-solutions-add-ons/" TargetMode="External"/><Relationship Id="rId12" Type="http://schemas.openxmlformats.org/officeDocument/2006/relationships/hyperlink" Target="https://truegradient.ai/resources/blogs/trade-promotion-optimization-for-mid-scale-cpgs-why-ai-will-finally-deliver-value" TargetMode="External"/><Relationship Id="rId56" Type="http://schemas.openxmlformats.org/officeDocument/2006/relationships/hyperlink" Target="https://www.gocrisp.com/blog/data-and-ai-driven-revenue-growth-secrets-for-retail" TargetMode="External"/><Relationship Id="rId15" Type="http://schemas.openxmlformats.org/officeDocument/2006/relationships/hyperlink" Target="https://truegradient.ai/resources/blogs/trade-promotion-optimization-for-mid-scale-cpgs-why-ai-will-finally-deliver-value" TargetMode="External"/><Relationship Id="rId59" Type="http://schemas.openxmlformats.org/officeDocument/2006/relationships/hyperlink" Target="https://www.userintuition.ai/reference-guides/customer-voice-product-innovation-cpg/" TargetMode="External"/><Relationship Id="rId14" Type="http://schemas.openxmlformats.org/officeDocument/2006/relationships/hyperlink" Target="https://truegradient.ai/resources/blogs/trade-promotion-optimization-for-mid-scale-cpgs-why-ai-will-finally-deliver-value" TargetMode="External"/><Relationship Id="rId58" Type="http://schemas.openxmlformats.org/officeDocument/2006/relationships/hyperlink" Target="https://www.kudossolutions.co.uk/unique-challenges-in-the-fmcg-industry-that-necessitate-specialised-erp-solutions-add-ons/" TargetMode="External"/><Relationship Id="rId17" Type="http://schemas.openxmlformats.org/officeDocument/2006/relationships/hyperlink" Target="https://truegradient.ai/resources/blogs/trade-promotion-optimization-for-mid-scale-cpgs-why-ai-will-finally-deliver-value" TargetMode="External"/><Relationship Id="rId16" Type="http://schemas.openxmlformats.org/officeDocument/2006/relationships/hyperlink" Target="https://truegradient.ai/resources/blogs/trade-promotion-optimization-for-mid-scale-cpgs-why-ai-will-finally-deliver-value" TargetMode="External"/><Relationship Id="rId19" Type="http://schemas.openxmlformats.org/officeDocument/2006/relationships/hyperlink" Target="https://www.linkedin.com/posts/nijansh_most-enterprise-cpg-teams-have-the-same-setup-activity-7458127287172124672-fSM6" TargetMode="External"/><Relationship Id="rId18" Type="http://schemas.openxmlformats.org/officeDocument/2006/relationships/hyperlink" Target="https://truegradient.ai/resources/blogs/trade-promotion-optimization-for-mid-scale-cpgs-why-ai-will-finally-deliver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