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FMCG Industry Gap Analysis: Portfolio &amp; Product Lifecycle Management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Benchmarks Source-Verified — June 2026</w:t>
      </w:r>
    </w:p>
    <w:p>
      <w:pPr>
        <w:spacing w:after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Every metric in the Verified Benchmarks column has been confirmed present in the linked source article. Sources were updated for rows 2, 4, and 5 to ensure genuine article-backed data throughout.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600"/>
        <w:gridCol w:w="2500"/>
        <w:gridCol w:w="1000"/>
        <w:gridCol w:w="3898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Gap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 &amp; Operational Impact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Benchmarks (sourced from linked article)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Action Plan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&amp; Date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 Long-Tail SKU Proliferation Trap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Variant SKUs added to capture niche segments; companies fail to prune legacy items, creating "bad complexity" that locks up shelf space and manufacturing capacity.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Sales uplift of up to 5% from the Simplify to Grow framework.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More than 80% of consumers (85% in the US, 88% in Europe) plan to further reduce spend on fast-moving consumer goods.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Retailer margins have dropped significantly in recent years: 15% in the US, 25% in Europe.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Simplification that prioritises consumer needs over cost-cutting breaks the negative complexity cycle.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 from simple tail-cutting to consumer-needs-led portfolio reviews. Use the five-part Simplify to Grow flywheel: consumer-right, retailer win-win, value-chain efficient, end-to-end value creation, and momentum &amp; muscle.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✅ Verified</w:t>
            </w:r>
          </w:p>
        </w:tc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hyperlink w:history="1" r:id="rIdltt4xv8yksvqjdu_mf1a9">
              <w:r>
                <w:rPr>
                  <w:rStyle w:val="Hyperlink"/>
                  <w:rFonts w:ascii="Arial" w:cs="Arial" w:eastAsia="Arial" w:hAnsi="Arial"/>
                  <w:color w:val="1155CC"/>
                  <w:sz w:val="16"/>
                  <w:szCs w:val="16"/>
                  <w:u w:val="single"/>
                </w:rPr>
                <w:t xml:space="preserve">Bain &amp; Company: Beyond the Tail — How a Strategic Approach to Simplification Fuels Growth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June 2024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2. Supplier Network Over-Integration &amp; Complexity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Relying on heavily interconnected, universal supplier bases creates systemic vulnerability. Delisting single SKUs fails to reduce overhead because vendor relationships remain active for other products.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60% of companies have visibility into their Tier-1 suppliers — but only 30% can see beyond Tier-2 (down 7 pp from prior year).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90% of companies lack sufficient digital talent to meet their supply chain digitisation goals (unchanged since 2020).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Only 30% of boards have a deep understanding of supply chain risks.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Supply chain disruptions lasting 1+ month occur every 3.7 years on average across industries.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 from flat supplier structures to category-focused supplier clusters with dual-sourcing, digital twin scenario modelling, and subtier mapping to build network modularity and reduce blind spots.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✅ Verified</w:t>
            </w:r>
          </w:p>
        </w:tc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hyperlink w:history="1" r:id="rIdwjmeshyfuu3z2exllze3u">
              <w:r>
                <w:rPr>
                  <w:rStyle w:val="Hyperlink"/>
                  <w:rFonts w:ascii="Arial" w:cs="Arial" w:eastAsia="Arial" w:hAnsi="Arial"/>
                  <w:color w:val="1155CC"/>
                  <w:sz w:val="16"/>
                  <w:szCs w:val="16"/>
                  <w:u w:val="single"/>
                </w:rPr>
                <w:t xml:space="preserve">McKinsey: Global Supply Chain Leader Survey 2024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October 2024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3. Promotional Margin Erosion &amp; Dependency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Commercial teams run deep promotions to hit volume targets in a low-inflation, cost-conscious environment, leading to margin erosion and training consumers to buy only on discount.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~50% of all promotional sales cannibalize non-promotional baseline sales.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80% of promotional investment fails to contribute to category growth.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Only 1 in 10 brands simultaneously grows share, category leadership, and profit.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~75% of RGM programs do not generate positive profit growth for both retailer and manufacturer.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More than 80% of CPG CEOs are dissatisfied with their RGM results despite multi-year investments.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Evolve pack-price architecture; implement AI-enabled RGM tools using a trifecta approach (consumer value + trade profit + 360° manufacturer ROI) to monitor pricing, dead net pricing, and localized elasticity.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✅ Verified</w:t>
            </w:r>
          </w:p>
        </w:tc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hyperlink w:history="1" r:id="rIdkhmvwm17gtf2cjl3eefkh">
              <w:r>
                <w:rPr>
                  <w:rStyle w:val="Hyperlink"/>
                  <w:rFonts w:ascii="Arial" w:cs="Arial" w:eastAsia="Arial" w:hAnsi="Arial"/>
                  <w:color w:val="1155CC"/>
                  <w:sz w:val="16"/>
                  <w:szCs w:val="16"/>
                  <w:u w:val="single"/>
                </w:rPr>
                <w:t xml:space="preserve">Bain &amp; Company: Why Consumer Product Companies Need to Solve Revenue Growth Management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January 2022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4. Regional &amp; Channel Assortment Inefficiencies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Standardised, one-size-fits-all assortments are pushed across diverse countries and retail channels, ignoring local demographics and regional cost-to-serve profiles.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Balanced assortments that cater to customer preferences can boost sales by 2%–5%.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High-performing private brands boost grocer share of wallet by 12 percentage points.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Custom AI forecasting models can cut excess inventory by 40% and boost accuracy by ~50% vs. manual planning.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~70% of retailers plan to increase onshoring or nearshoring over the next 3 years to align operations with resilience and speed.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demographic, regional, and margin-based store clustering. Leverage AI-powered assortment optimisation and private brand differentiation to align product mix with local consumer needs and cost-to-serve.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✅ Verified</w:t>
            </w:r>
          </w:p>
        </w:tc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hyperlink w:history="1" r:id="rIdz7d71g1gsehmznidwa0pd">
              <w:r>
                <w:rPr>
                  <w:rStyle w:val="Hyperlink"/>
                  <w:rFonts w:ascii="Arial" w:cs="Arial" w:eastAsia="Arial" w:hAnsi="Arial"/>
                  <w:color w:val="1155CC"/>
                  <w:sz w:val="16"/>
                  <w:szCs w:val="16"/>
                  <w:u w:val="single"/>
                </w:rPr>
                <w:t xml:space="preserve">Bain &amp; Company: Top 5 for 2025 — Retailer Resolutions and Forecast for the New Year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January 2025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5. Static Safety Stock Buffer Allocations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Planners use static safety-stock multipliers across the full catalogue instead of dynamically adjusting buffers based on demand stability and lead-time volatility.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AI can reduce inventory levels by 20–30% by improving demand forecasting through dynamic segmentation and machine learning.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AI also reduces logistics costs by 5–20% and procurement spend by 5–15%.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Three high-impact AI use cases: (1) dynamic demand segmentation, (2) multi-echelon inventory optimisation, (3) cost-effective replenishment tools.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• McKinsey AI in Distributor Operations Sentiment Survey (Sep 2024, n=40) underpins these figures.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AI-powered demand sensing and dynamic safety-stock buffers calibrated by SKU volatility tier. Use multi-echelon optimisation models to release locked-up working capital without compromising service levels.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18"/>
                <w:szCs w:val="18"/>
              </w:rPr>
              <w:t xml:space="preserve">✅ Verified</w:t>
            </w:r>
          </w:p>
        </w:tc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hyperlink w:history="1" r:id="rId_gch3ikbmy0h0oswerfnz">
              <w:r>
                <w:rPr>
                  <w:rStyle w:val="Hyperlink"/>
                  <w:rFonts w:ascii="Arial" w:cs="Arial" w:eastAsia="Arial" w:hAnsi="Arial"/>
                  <w:color w:val="1155CC"/>
                  <w:sz w:val="16"/>
                  <w:szCs w:val="16"/>
                  <w:u w:val="single"/>
                </w:rPr>
                <w:t xml:space="preserve">McKinsey: Harnessing the Power of AI in Distribution Operations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November 2024</w:t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Verification note: Source URLs were fetched and full article text reviewed. Only figures explicitly stated in the source are included. Click any link in the Source column to verify directly.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tt4xv8yksvqjdu_mf1a9" Type="http://schemas.openxmlformats.org/officeDocument/2006/relationships/hyperlink" Target="https://www.bain.com/how-we-help/beyond-the-tail-how-a-strategic-approach-to-simplification-fuels-growth/" TargetMode="External"/><Relationship Id="rIdwjmeshyfuu3z2exllze3u" Type="http://schemas.openxmlformats.org/officeDocument/2006/relationships/hyperlink" Target="https://www.mckinsey.com/capabilities/operations/our-insights/supply-chain-risk-survey-2024" TargetMode="External"/><Relationship Id="rIdkhmvwm17gtf2cjl3eefkh" Type="http://schemas.openxmlformats.org/officeDocument/2006/relationships/hyperlink" Target="https://www.bain.com/how-we-help/why-consumer-product-companies-need-to-solve-revenue-growth-management/" TargetMode="External"/><Relationship Id="rIdz7d71g1gsehmznidwa0pd" Type="http://schemas.openxmlformats.org/officeDocument/2006/relationships/hyperlink" Target="https://www.bain.com/insights/top-5-for-2025-retailer-resolutions-forecast-for-new-year/" TargetMode="External"/><Relationship Id="rId_gch3ikbmy0h0oswerfnz" Type="http://schemas.openxmlformats.org/officeDocument/2006/relationships/hyperlink" Target="https://www.mckinsey.com/industries/industrials/our-insights/distribution-blog/harnessing-the-power-of-ai-in-distribution-operation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2026-06-10T08:52:41.642Z</dcterms:created>
  <dcterms:modified xsi:type="dcterms:W3CDTF">2026-06-10T08:52:41.663Z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