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FMCG Multi-Country Sales Dataset — Column Reference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fmcg_sales_dataset_1.csv (loaded in the Colab notebook you shared)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document helps a reviewer assess which metrics are dashboard-feasible, which need calculation, and which require assumptions.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Legend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= raw column, use as-is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= computable from raw columns with straightforward logic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[ESTIMATED]</w:t>
      </w:r>
      <w:r w:rsidDel="00000000" w:rsidR="00000000" w:rsidRPr="00000000">
        <w:rPr>
          <w:rtl w:val="0"/>
        </w:rPr>
        <w:t xml:space="preserve"> = requires a proxy or assumption to produce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= can be shown directly on a dashboard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= needs a calculation step before visualising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[✗ DASH]</w:t>
      </w:r>
      <w:r w:rsidDel="00000000" w:rsidR="00000000" w:rsidRPr="00000000">
        <w:rPr>
          <w:rtl w:val="0"/>
        </w:rPr>
        <w:t xml:space="preserve"> = not a visual metric on its own; used as input to calculations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fcc7c7to5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1 — Identity &amp; Keys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sku_id</w:t>
      </w:r>
      <w:r w:rsidDel="00000000" w:rsidR="00000000" w:rsidRPr="00000000">
        <w:rPr>
          <w:rtl w:val="0"/>
        </w:rPr>
        <w:t xml:space="preserve"> | int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Primary numeric identifier for each SKU. The grain for all SKU-level analysis. Every KPI rolls up or drills down through this. Used as a join key across groupby operations.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sku_name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Human-readable label (e.g., "BrandA Chips"). Display name for all charts, dropdowns, and leaderboard tables. If naming is consistently structured (Brand + Product), brand and product type can be split into separate derived dimensions.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supplier_id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Supplier code (S001–S060). Enables supplier concentration analysis, SKUs-per-supplier ratio, supplier fragmentation scoring. In this dataset, all 60 suppliers cover all SKUs — meaning no single supplier is a dedicated specialist, which itself is a finding.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391hidu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2 — Time Dimensions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date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Transaction-level date. Backbone of all time-series analysis. Derive year, month, week number, and quarter from this. Required for seasonality detection, volatility (CV), YoY comparisons, and trend lines.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| int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 from date]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Extract with date.dt.year. Enables annual revenue comparisons and YoY growth calculation (2022 vs 2023 was used in the notebook). New SKUs introduced in one year will show zero growth — a data quality flag to watch.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 | int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 from date]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Extract with date.dt.month. Core input for monthly sales aggregation, seasonality index, and Coefficient of Variation (CV) of demand. The Chocolate category showed the strongest monthly variance in the dataset.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/ quarter</w:t>
      </w:r>
      <w:r w:rsidDel="00000000" w:rsidR="00000000" w:rsidRPr="00000000">
        <w:rPr>
          <w:rtl w:val="0"/>
        </w:rPr>
        <w:t xml:space="preserve"> | int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 from date]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Additional time slices for finer granularity. Useful for promotional period analysis (flag weeks where promo_flag spikes) and short-cycle demand patterns.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ichysc111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3 — Product Dimensions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Five categories present: Beverages, Dairy, Home Care, Personal Care, Snacks. Enables category-level revenue share, margin concentration, low-performer density, and cross-category cannibalization risk. Dairy has the highest share of low-performing SKUs (27.8%) in the analysed dataset.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sku_name (parseable)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If brand and product type are consistently separated in the SKU name (e.g., "BrandC Chips"), these can be split into brand_name and product_type as derived dimensions. Enables brand-level aggregation without additional master data.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r8jhi5ae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4 — Geography &amp; Channel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Seven countries present: Italy, Spain, Germany, France, Austria, Poland, Netherlands. Enables regional revenue, margin by country, SKU complexity per market, and regional assortment gap analysis. Italy (102 SKUs) and Spain (100 SKUs) have the largest portfolios; Netherlands (45 SKUs) has the lowest margin.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Four channels present: E-commerce, Supermarket, Hypermarket, Convenience. Enables margin efficiency by channel, stockout risk by channel, and demand volatility comparison. E-commerce is the most margin-efficient (38.56%); Hypermarket accounts for the most stockouts (15,907 instances).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bxcdx3m1u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5 — Commercial / Financial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net_sales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Revenue per transaction row (units_sold × selling price, pre-aggregated or derivable). The primary commercial value metric. Used for revenue concentration analysis (Pareto), SKU ranking, category share, country contribution, and channel efficiency. Top 30% of SKUs drive 62.88% of total revenue.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units_sold</w:t>
      </w:r>
      <w:r w:rsidDel="00000000" w:rsidR="00000000" w:rsidRPr="00000000">
        <w:rPr>
          <w:rtl w:val="0"/>
        </w:rPr>
        <w:t xml:space="preserve"> | int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Transaction-level unit volume. Input for demand volatility (CV), safety stock proxy, and identifying high-volume / low-margin SKUs. Also the raw series for seasonality detection via monthly variance.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purchase_cost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Per-unit cost of goods. Used as a proxy for COGS — the notebook assumes mean purchase cost is stable across the period (a key assumption). Not directly visualisable alone but is the input to gross margin calculation.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gross_margin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Calculated as: net_sales − (units_sold × purchase_cost). Core profitability metric. Used for margin ranking, margin-by-category, margin-dilutive SKU identification, and the Commercial Value Score. Average portfolio margin was 38.53%.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gross_margin_pct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Calculated as: gross_margin / net_sales. The percentage view of margin. Used for lowest-margin SKU identification, channel margin efficiency, and country-level margin benchmarking. Range in the dataset was approximately 35.8%–38.6%.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revenue_growth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Calculated as: (rev_2023 − rev_2022) / rev_2022. Requires date column and at least two years of data. SKUs with no prior year data are filled with 0 — treat these as unknown, not flat. One of four inputs to the Commercial Value Score.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fursjkeup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6 — Supply Chain &amp; Inventory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lead_time_days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Average supplier-to-shelf lead time per SKU per row. Directly visualisable as a ranking (top 10 longest lead times). Also the primary input to the safety stock proxy formula. BrandA Nuts and BrandA Juice had the longest lead times (~6.54 days) in the dataset.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stock_out_flag</w:t>
      </w:r>
      <w:r w:rsidDel="00000000" w:rsidR="00000000" w:rsidRPr="00000000">
        <w:rPr>
          <w:rtl w:val="0"/>
        </w:rPr>
        <w:t xml:space="preserve"> | int (0/1 per row, summed)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Binary flag per transaction indicating a stockout event. Summed across rows per SKU to give stockout frequency — a direct dashboard metric. BrandC Biscuits and BrandF Soap had 440 stockouts each. Also used as a complexity input in the Operational Complexity Score.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safety_stock_proxy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[ESTIMATED]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Calculated as: lead_time_days × standard deviation of demand (units_sold). There is no actual stock-on-hand column. This is a modelled approximation — it will diverge from reality if service-level targets, reorder points, or actual inventory records differ. The 42.2% safety stock reduction figure in the executive summary flows entirely from this proxy. Treat with caution.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ss_to_revenue_ratio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 from estimated]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Safety stock proxy divided by net_sales. Identifies SKUs consuming disproportionate inventory capital relative to what they earn. BrandE Cheese had the highest ratio in the dataset. Useful for inventory inefficiency charts.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demand_std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[✗ DASH]</w:t>
      </w:r>
      <w:r w:rsidDel="00000000" w:rsidR="00000000" w:rsidRPr="00000000">
        <w:rPr>
          <w:rtl w:val="0"/>
        </w:rPr>
        <w:t xml:space="preserve"> Standard deviation of monthly units_sold per SKU. Not a standalone visual but an input to safety_stock_proxy and CV calculation. Computed via groupby on sku_id and month.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yfcmsf70s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7 — Promotions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promo_flag</w:t>
      </w:r>
      <w:r w:rsidDel="00000000" w:rsidR="00000000" w:rsidRPr="00000000">
        <w:rPr>
          <w:rtl w:val="0"/>
        </w:rPr>
        <w:t xml:space="preserve"> | float (0 or 0.2 per row, averaged)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[DIRECT]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Proportion of transactions per SKU that occurred under a promotion. In the dataset this appears as a mean value (not a strict binary), suggesting multiple promo intensity levels may be encoded. Used to rank promo-dependent SKUs and as a complexity driver. BrandD Water had the highest promo dependency (~27.97% of revenue under promo).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promo_dependency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Aggregated from promo_flag: percentage of total SKU revenue generated during promotional periods. Cleaner view than raw promo_flag. Top 10 most dependent SKUs clustered between 27.6%–28.0%.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margin_erosion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Difference in effective margin between promo and non-promo periods per SKU. Computed by comparing net_sales and implied margin when promo_flag = 1 vs 0. BrandC Toothpaste had the highest erosion (15.49 units of margin loss). Signals which SKUs are being discounted beyond their margin buffer.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reluttwd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8 — Demand Volatility &amp; Forecasting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cv_score (Coefficient of Variation)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Calculated as: std(monthly_units_sold) / mean(monthly_units_sold) per SKU. The primary forecast instability metric. The Chocolate brand variants dominate the top 10 (CV &gt; 0.23). Visualisable as a ranked bar chart or scatter vs revenue.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volatility_class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Discretised CV: Stable (CV &lt; 0.2), Variable (CV 0.2–0.5), Unstable (CV &gt; 0.5). In this dataset, no SKU exceeded 0.5 so only Stable (80 SKUs) and Variable (22 SKUs) appeared. The thresholds are hardcoded assumptions — changing them moves SKUs between classes. Good as a filter or colour-coding dimension on a dashboard.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seasonality_index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Calculated as: std of average monthly units_sold per SKU across months. Higher = stronger seasonal pattern. BrandD Chocolate (0.239) and BrandE Chocolate (0.238) lead. Enables seasonal risk flagging for safety stock and forecast planning.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inb7geu8s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9 — Composite Scores (all model-derived)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commercial_value_score</w:t>
      </w:r>
      <w:r w:rsidDel="00000000" w:rsidR="00000000" w:rsidRPr="00000000">
        <w:rPr>
          <w:rtl w:val="0"/>
        </w:rPr>
        <w:t xml:space="preserve"> | float 0–1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Equal-weighted normalized sum of: revenue + gross_margin + revenue_growth + demand_stability (1 − CV). All four components normalized 0–1 before summing. Key assumption: equal weights. This is the X-axis of the strategic segmentation quadrant.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operational_complexity_score</w:t>
      </w:r>
      <w:r w:rsidDel="00000000" w:rsidR="00000000" w:rsidRPr="00000000">
        <w:rPr>
          <w:rtl w:val="0"/>
        </w:rPr>
        <w:t xml:space="preserve"> | float 0–1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Equal-weighted normalized sum of: lead_time_days + supplier_dependency + promo_dependency + stock_out_flag + volatility_class (mapped numerically). Key assumption: equal weights, and Stable/Variable/Unstable mapped as 0.3/0.6/1.0. This is the Y-axis of the quadrant.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portfolio_segment</w:t>
      </w:r>
      <w:r w:rsidDel="00000000" w:rsidR="00000000" w:rsidRPr="00000000">
        <w:rPr>
          <w:rtl w:val="0"/>
        </w:rPr>
        <w:t xml:space="preserve"> | string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Four labels based on median splits of value and complexity scores: Keep (High Value / Low Complexity, 35 SKUs), Grow (High Value / High Complexity, 16 SKUs), Consolidate (Low Value / Low Complexity, 16 SKUs), Rationalize (Low Value / High Complexity, 35 SKUs). Direct dashboard filter and colour dimension.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op_burden_ratio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Calculated as: operational_complexity_score / commercial_value_score. Identifies SKUs where the cost to manage exceeds commercial return. BrandF Soda (3.58) is the highest burden SKU. All top 10 by this ratio fall in the Rationalize segment.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portfolio_complexity_index (PCI)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[ESTIMATED]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Enterprise-level scalar: average of six normalised sub-indices (SKU proliferation, supplier fragmentation, average CV, low-velocity %, lead time instability, promo dependency %). Current value: 0.5509. The sub-index baselines (100 SKUs, 50 suppliers) are hardcoded assumptions, not industry benchmarks. Best shown as a single KPI card with component breakdown.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cannibalization_risk_score</w:t>
      </w:r>
      <w:r w:rsidDel="00000000" w:rsidR="00000000" w:rsidRPr="00000000">
        <w:rPr>
          <w:rtl w:val="0"/>
        </w:rPr>
        <w:t xml:space="preserve"> | float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[ESTIMATED]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Per-SKU score derived from the maximum negative correlation between one SKU's promo_flag and another SKU's units_sold within the same category. High negative correlation is treated as sales displacement. Beverages flagged as highest risk. Critical caveat: correlation ≠ causation; seasonal timing can produce false positives with no time-lag adjustment.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v9b0uzlju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10 — Derived Aggregations (not raw columns but computable)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revenue_share_pct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SKU net_sales / total portfolio net_sales. Foundation of Pareto/concentration charts. Top 10% of SKUs = 27.81%, top 20% = 48.51%, top 30% = 62.88%.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low_velocity_flag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Binary: 1 if SKU net_sales &lt; 1% of total revenue. 68 SKUs qualify. Useful as a dashboard filter and for calculating the low-velocity drag on operational resources.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margin_per_supplier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Gross margin attributed to a supplier divided by SKU count. Identifies low-value supplier relationships. Useful for supplier rationalisation view.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suppliers_per_category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[DERIVED]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 DASH]</w:t>
      </w:r>
      <w:r w:rsidDel="00000000" w:rsidR="00000000" w:rsidRPr="00000000">
        <w:rPr>
          <w:rtl w:val="0"/>
        </w:rPr>
        <w:t xml:space="preserve"> Count of unique supplier_id values per category. In this dataset: all five categories = 60. Reveals whether supplier specialisation exists (here it does not).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safety_stock_reduction_pct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[ESTIMATED]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Modelled impact of removing a cohort of SKUs on total safety_stock_proxy. Bottom 10% removal = 8.8% reduction; bottom 20% = 22.3%; bottom 30% = 29.6%. Used for rationalization simulation dashboard panels. Entirely proxy-dependent — no real inventory data.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inventory_carrying_cost_proxy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[ESTIMATED]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[~ DASH]</w:t>
      </w:r>
      <w:r w:rsidDel="00000000" w:rsidR="00000000" w:rsidRPr="00000000">
        <w:rPr>
          <w:rtl w:val="0"/>
        </w:rPr>
        <w:t xml:space="preserve"> Modelled as 20% of safety_stock_proxy value. A standard industry assumption but not validated against actual cost data. Useful as a directional estimate only.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p3dk8h5d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Summary: What is and is not possible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Directly dashboard-ready (no calculation needed):</w:t>
      </w:r>
      <w:r w:rsidDel="00000000" w:rsidR="00000000" w:rsidRPr="00000000">
        <w:rPr>
          <w:rtl w:val="0"/>
        </w:rPr>
        <w:t xml:space="preserve"> sku_id, sku_name, supplier_id, date, category, country, channel, net_sales, units_sold, lead_time_days, stock_out_flag, promo_flag, portfolio_segment, volatility_class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Needs one calculation step:</w:t>
      </w:r>
      <w:r w:rsidDel="00000000" w:rsidR="00000000" w:rsidRPr="00000000">
        <w:rPr>
          <w:rtl w:val="0"/>
        </w:rPr>
        <w:t xml:space="preserve"> gross_margin, gross_margin_pct, revenue_growth, promo_dependency, margin_erosion, cv_score, seasonality_index, commercial_value_score, operational_complexity_score, op_burden_ratio, revenue_share_pct, low_velocity_flag, suppliers_per_category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Requires assumptions / proxies — flag clearly on dashboard:</w:t>
      </w:r>
      <w:r w:rsidDel="00000000" w:rsidR="00000000" w:rsidRPr="00000000">
        <w:rPr>
          <w:rtl w:val="0"/>
        </w:rPr>
        <w:t xml:space="preserve"> safety_stock_proxy, ss_to_revenue_ratio, portfolio_complexity_index, cannibalization_risk_score, safety_stock_reduction_pct, inventory_carrying_cost_proxy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assumptions the reviewer must validate before signing off: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cost is stable across periods (mean used as COGS proxy)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stock = lead_time × demand_std (no real inventory data exists)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composite scores use equal weighting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thresholds (CV &lt; 0.2 = Stable, 0.2–0.5 = Variable) are hardcoded, not benchmarked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Cannibalization is proxied by negative correlation within a category, no time-lag adjustment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from removed SKUs in rationalization simulations is assumed fully lost (no transfer effect)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baselines (100 SKUs, 50 suppliers) are internal assumptions, not industry standards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Carrying cost = 20% of safety stock proxy (standard rule of thumb, not actuals)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