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Ders Müzakeresi Raporu</w:t>
      </w:r>
    </w:p>
    <w:p>
      <w:pPr>
        <w:spacing w:after="40"/>
        <w:jc w:val="center"/>
      </w:pPr>
      <w:r>
        <w:rPr>
          <w:color w:val="2E5496"/>
          <w:sz w:val="25"/>
        </w:rPr>
        <w:t>Tefsir Dersi Sonrası İstişare — Ders Formatı ve Dinî “Heyecan” Üzerine</w:t>
      </w:r>
    </w:p>
    <w:p>
      <w:pPr>
        <w:spacing w:after="240"/>
        <w:jc w:val="center"/>
        <w:pBdr>
          <w:bottom w:val="single" w:sz="6" w:space="6" w:color="C9A227"/>
        </w:pBdr>
      </w:pPr>
      <w:r>
        <w:rPr>
          <w:color w:val="808080"/>
          <w:sz w:val="18"/>
        </w:rPr>
        <w:t>Ders tarihi: 10 Temmuz 2026  •  Ders sonrası müzakere</w:t>
      </w:r>
    </w:p>
    <w:p>
      <w:pPr>
        <w:jc w:val="both"/>
      </w:pPr>
      <w:r>
        <w:rPr/>
        <w:t>Bu rapor, tefsir dersini izleyen müzakerenin düzenlenmiş bir özetidir. Müzakerede önce dersin işleniş biçimi (derse hazırlık, tefsir kitabının takibi), ardından dinî “heyecan” kavramı ve bunun güncel olaylar üzerinden nasıl yaşandığı konuşulmuştur. Katılımcıların isimleri belirtilmemiş, görüşler “bir katılımcı” biçiminde aktarılmıştır; kayıtta bazı bölümler anlaşılır değildir.</w:t>
      </w:r>
    </w:p>
    <w:p>
      <w:pPr>
        <w:pStyle w:val="Heading1"/>
      </w:pPr>
      <w:r>
        <w:t>1. Ders Formatı ve Tefsir Takibi</w:t>
      </w:r>
    </w:p>
    <w:p>
      <w:pPr>
        <w:jc w:val="both"/>
      </w:pPr>
      <w:r>
        <w:rPr/>
        <w:t>Müzakere, derse ilişkin eklenecek bir şey olup olmadığı ve katılımcıların tefsirlere bakıp bakmadığı sorusuyla başladı. Derste hem dinleyip hem tefsir okumanın zorluğu konuşuldu.</w:t>
      </w:r>
    </w:p>
    <w:p>
      <w:pPr>
        <w:pStyle w:val="ListBullet"/>
      </w:pPr>
      <w:r>
        <w:rPr/>
        <w:t>Derste dinlerken aynı anda tefsire bakmanın zor ve verimsiz olduğu, tefsirin 15–20 sayfa gibi uzun olabildiği dile getirildi.</w:t>
      </w:r>
    </w:p>
    <w:p>
      <w:pPr>
        <w:pStyle w:val="ListBullet"/>
      </w:pPr>
      <w:r>
        <w:rPr/>
        <w:t>Çözüm olarak dersten önce okuma yapılması, tefsir kitabının ya da PDF'inin ders sırasında önde açık tutulup arada not alınması önerildi.</w:t>
      </w:r>
    </w:p>
    <w:p>
      <w:pPr>
        <w:pStyle w:val="ListBullet"/>
      </w:pPr>
      <w:r>
        <w:rPr/>
        <w:t>Hâlihazırda derslerin “sohbet” havasında geçmesinin kötü olmadığı, dersin güzel gittiği ve yaklaşık 23–24. haftada olunduğu söylendi; yine de herkesin hazırlıklı gelmesinin dersin kalitesini ve alınan lezzeti artıracağı belirtildi.</w:t>
      </w:r>
    </w:p>
    <w:p>
      <w:pPr>
        <w:pStyle w:val="ListBullet"/>
      </w:pPr>
      <w:r>
        <w:rPr/>
        <w:t>Ders sonunda kapanış duasının yapılması ve isteyenin dersten çıkardığı bir cümleyi paylaşması da konuşuldu; bu cümlelerden birinin “kalpler ancak Allah'ı anmakla huzur bulur” anlamındaki âyetle ilgili olduğu anlaşılmaktadır.</w:t>
      </w:r>
    </w:p>
    <w:p>
      <w:pPr>
        <w:pStyle w:val="ListBullet"/>
      </w:pPr>
      <w:r>
        <w:rPr/>
        <w:t>Önerilerin bir sonraki haftadan itibaren uygulanması gerektiği konusunda genel bir kabul oluştu.</w:t>
      </w:r>
    </w:p>
    <w:p>
      <w:pPr>
        <w:pStyle w:val="Heading1"/>
      </w:pPr>
      <w:r>
        <w:t>2. Dinî “Heyecan” Meselesi</w:t>
      </w:r>
    </w:p>
    <w:p>
      <w:pPr>
        <w:jc w:val="both"/>
      </w:pPr>
      <w:r>
        <w:rPr/>
        <w:t>Derste, üniversiteye ilk geldiği günlerdeki heyecanı artık hissedemediğini söyleyen bir katılımcının sözleri üzerine heyecan konusu tartışıldı.</w:t>
      </w:r>
    </w:p>
    <w:p>
      <w:pPr>
        <w:pStyle w:val="ListBullet"/>
      </w:pPr>
      <w:r>
        <w:rPr/>
        <w:t>Bir görüşe göre heyecan konusu biraz büyütülmektedir. İnsanın hayatında heyecanlı olduğu ve olgunlaştığı farklı dönemler vardır; “heyecanlı olmak” diye bir emir de yoktur. Türkiye'deki dindarlık anlayışının çoğu zaman tepkisel bir heyecana indirgendiği, bir düşman ya da olay aranıp onun üzerinden bir şey inşa edildiği, bu kalıptan çıkmak gerektiği söylendi.</w:t>
      </w:r>
    </w:p>
    <w:p>
      <w:pPr>
        <w:pStyle w:val="ListBullet"/>
      </w:pPr>
      <w:r>
        <w:rPr/>
        <w:t>Bir katılımcı, kendi örneğinden hareketle, üniversite yıllarında bu konuyu çok yoğun yaşadığını, bugün ise yeni biriyle tanışmanın kendisine ağır geldiğini, ancak bunu kötü bir şey olarak görmediğini aktardı. Bir başka katılımcı bunun doğal olduğunu belirtti.</w:t>
      </w:r>
    </w:p>
    <w:p>
      <w:pPr>
        <w:pStyle w:val="ListBullet"/>
      </w:pPr>
      <w:r>
        <w:rPr/>
        <w:t>Karşı bir görüş, heyecanın tamamen bir kenara bırakılmaması, meydanlarda koşturulan pratik tarafın da tabulaştırılmaması gerektiğini; asıl meselenin kalbin canlılığı ve süreklilik olduğunu savundu. Elli yaşında hâlâ otuz yıl önceki heyecanı taşıyan insanlardan söz edildi.</w:t>
      </w:r>
    </w:p>
    <w:p>
      <w:pPr>
        <w:pStyle w:val="ListBullet"/>
      </w:pPr>
      <w:r>
        <w:rPr/>
        <w:t>Heyecandan kastedilen şeyin kürsü vaazı tarzı bir coşku değil, kişinin kendi dinî hayatındaki ve çevresindeki insanlara etkisindeki canlılık olduğu açıklandı.</w:t>
      </w:r>
    </w:p>
    <w:p>
      <w:pPr>
        <w:pStyle w:val="Heading1"/>
      </w:pPr>
      <w:r>
        <w:t>3. Güncel Olaylar Üzerinden Tepki Biçimi</w:t>
      </w:r>
    </w:p>
    <w:p>
      <w:pPr>
        <w:jc w:val="both"/>
      </w:pPr>
      <w:r>
        <w:rPr/>
        <w:t>Müzakere, heyecanın nasıl ve hangi tepkilerle ifade edildiği sorusuyla güncel iki olaya genişledi. Aşağıda görüşler, kayıtta anlaşıldığı kadarıyla özetlenmiştir; isim ve olayın ayrıntıları kayıttan aktarılmıştır ve net olmayabilir.</w:t>
      </w:r>
    </w:p>
    <w:p>
      <w:pPr>
        <w:pStyle w:val="Heading2"/>
      </w:pPr>
      <w:r>
        <w:t>3.1. Bir mezuniyet töreninde pankart/âyet açılması</w:t>
      </w:r>
    </w:p>
    <w:p>
      <w:pPr>
        <w:pStyle w:val="ListBullet"/>
      </w:pPr>
      <w:r>
        <w:rPr/>
        <w:t>Bir katılımcı, 20 yaşındaki bir gencin törende yaptığı eylemin ardından İslamî kesimlerde herkesin açıklama yayınlamasının meseleyi büyüttüğünü, böylece Müslümanlığın bir şeyi buymuş gibi sunulduğunu söyledi.</w:t>
      </w:r>
    </w:p>
    <w:p>
      <w:pPr>
        <w:pStyle w:val="ListBullet"/>
      </w:pPr>
      <w:r>
        <w:rPr/>
        <w:t>Bir diğeri, bu gençlerin “bizim çocuklarımız, kardeşlerimiz” olduğunu, onlara düşmanlık yerine, âyetle ilgili bir duyarlılığı tepkisel olmayan biçimde paylaşmanın yolları aranması gerektiğini belirtti.</w:t>
      </w:r>
    </w:p>
    <w:p>
      <w:pPr>
        <w:pStyle w:val="ListBullet"/>
      </w:pPr>
      <w:r>
        <w:rPr/>
        <w:t>Eylemin kendisinin yanlış olduğu, ancak gencin samimiyetinin yargılanmaması gerektiği görüşü dile getirildi; kendi gençliğinde benzer bir şey yapmış olabileceğini söyleyen bir katılımcı da oldu.</w:t>
      </w:r>
    </w:p>
    <w:p>
      <w:pPr>
        <w:pStyle w:val="Heading2"/>
      </w:pPr>
      <w:r>
        <w:t>3.2. Bir kişinin söylemlerine verilen tepki</w:t>
      </w:r>
    </w:p>
    <w:p>
      <w:pPr>
        <w:pStyle w:val="ListBullet"/>
      </w:pPr>
      <w:r>
        <w:rPr/>
        <w:t>Bir görüşe göre kişinin dinî kutsallara açıkça saygısızlık ettiği düşünülüyorsa buna tepki gösterilmelidir; ancak bu tepki boykot, protesto, açıklama ve şikâyet gibi yollarla ve cemaat/örgütlü biçimde olmalı, tutuklanması yönünde bir talep ise yersiz görülmelidir.</w:t>
      </w:r>
    </w:p>
    <w:p>
      <w:pPr>
        <w:pStyle w:val="ListBullet"/>
      </w:pPr>
      <w:r>
        <w:rPr/>
        <w:t>Bir başkası, kişinin söylediklerinin açık bir hakaret içermediğini, ufak şeylerde bile bu kadar sert tepki verilmesinin ve bunun gündem yapılmasının insanları rahatsız ettiğini, olmayan bir gündemi büyüttüğümüzü söyledi.</w:t>
      </w:r>
    </w:p>
    <w:p>
      <w:pPr>
        <w:pStyle w:val="ListBullet"/>
      </w:pPr>
      <w:r>
        <w:rPr/>
        <w:t>Heyecanın düşman üreterek ifade edilmesinin hem insanları dinden uzaklaştırdığı hem de “mağdur” rolünü beslediği, uzun vadede dine ve ümmete zarar verdiği görüşü ifade edildi. Karşı görüş ise, itibar suikastı niteliği taşıyan söylemlere ses çıkarmak gerektiğini savundu.</w:t>
      </w:r>
    </w:p>
    <w:p>
      <w:pPr>
        <w:pStyle w:val="ListBullet"/>
      </w:pPr>
      <w:r>
        <w:rPr/>
        <w:t>Sivil toplum kuruluşlarının ve cemaatlerin her konuda açıklama yapmak zorunda olmadığı da belirtildi.</w:t>
      </w:r>
    </w:p>
    <w:p>
      <w:pPr>
        <w:pStyle w:val="Heading1"/>
      </w:pPr>
      <w:r>
        <w:t>4. Ana Çıkarımlar</w:t>
      </w:r>
    </w:p>
    <w:p>
      <w:pPr>
        <w:pStyle w:val="ListBullet"/>
      </w:pPr>
      <w:r>
        <w:rPr/>
        <w:t>Derse hazırlıklı gelmek ve tefsir metnini (kitap veya PDF) ders sırasında önde tutmak, dersin kalitesi için önerilen ortak çözüm olarak öne çıktı.</w:t>
      </w:r>
    </w:p>
    <w:p>
      <w:pPr>
        <w:pStyle w:val="ListBullet"/>
      </w:pPr>
      <w:r>
        <w:rPr/>
        <w:t>Dinî heyecan, tepkisellik ve düşman üretmekten ayrı düşünülmeli; zamanla heyecanın azalması doğal görülürken kalbin canlılığının sürdürülmesi önemlidir.</w:t>
      </w:r>
    </w:p>
    <w:p>
      <w:pPr>
        <w:pStyle w:val="ListBullet"/>
      </w:pPr>
      <w:r>
        <w:rPr/>
        <w:t>Tepkinin biçimi (sivil, hukukî, örgütlü) ile içeriği ayrı değerlendirilmeli; gençlere karşı düşmanca bir dil yerine muhatap olma yolları aranmalıdır.</w:t>
      </w:r>
    </w:p>
    <w:p>
      <w:pPr>
        <w:pStyle w:val="ListBullet"/>
      </w:pPr>
      <w:r>
        <w:rPr/>
        <w:t>Konu hakkında katılımcıların görüşleri birbirinden farklıdır ve müzakere bir sonuca bağlanmamıştır.</w:t>
      </w:r>
    </w:p>
    <w:p>
      <w:pPr>
        <w:pStyle w:val="Heading1"/>
      </w:pPr>
      <w:r>
        <w:t>5. Ders Sonu</w:t>
      </w:r>
    </w:p>
    <w:p>
      <w:pPr>
        <w:pStyle w:val="ListBullet"/>
      </w:pPr>
      <w:r>
        <w:rPr/>
        <w:t>Ders kapanış duasıyla bitirildi (“Allah'ım, okuduğumuz ve anladığımız şeyleri lehimize delil kıl, aleyhimize delil kılma; bizi Kur'an ehlinden eyle” anlamında).</w:t>
      </w:r>
    </w:p>
    <w:p>
      <w:pPr>
        <w:spacing w:before="240"/>
      </w:pPr>
      <w:r>
        <w:rPr>
          <w:i/>
          <w:color w:val="808080"/>
          <w:sz w:val="18"/>
        </w:rPr>
        <w:t>Not: Bu rapor, ders sonrası müzakere kaydının dökümünden hareketle düzenlenmiş bir özettir. Döküm makine çıktısı olduğundan konuşmanın bir kısmı anlaşılır değildir; kimin ne dediği ayırt edilemediği için görüşler isimsiz aktarılmıştır. Olay ve kişi adları ile hafta sayısı kayıttan aktarılmıştır ve doğrulanmamıştır. Ders tarihi dosya adından alınmıştır (10 Temmuz 2026).</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Ders Müzakeresi Raporu — Tefsir Dersi (10 Temmuz 2026)</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Ders Müzakeresi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