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eastAsia="Calibri" w:cs="Calibri"/>
          <w:b/>
          <w:color w:val="1F3864"/>
          <w:sz w:val="38"/>
        </w:rPr>
        <w:t>Toplantı Raporu</w:t>
      </w:r>
    </w:p>
    <w:p>
      <w:pPr>
        <w:spacing w:after="40"/>
        <w:jc w:val="center"/>
      </w:pPr>
      <w:r>
        <w:rPr>
          <w:color w:val="2E5496"/>
          <w:sz w:val="25"/>
        </w:rPr>
        <w:t>Yeni Kod: Worker Mimarisi, Deprem Bazlı Sonuçlar ve Distance Matrix Değerlendirmesi</w:t>
      </w:r>
    </w:p>
    <w:p>
      <w:pPr>
        <w:spacing w:after="240"/>
        <w:jc w:val="center"/>
        <w:pBdr>
          <w:bottom w:val="single" w:sz="6" w:space="6" w:color="C9A227"/>
        </w:pBdr>
      </w:pPr>
      <w:r>
        <w:rPr>
          <w:color w:val="808080"/>
          <w:sz w:val="18"/>
        </w:rPr>
        <w:t>22 Ekim 2026  •  İç teknik çalışma toplantısı</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50" w:type="dxa"/>
          <w:left w:w="90" w:type="dxa"/>
          <w:bottom w:w="50" w:type="dxa"/>
          <w:right w:w="90" w:type="dxa"/>
        </w:tblCellMar>
      </w:tblPr>
      <w:tblGrid>
        <w:gridCol w:w="4536"/>
        <w:gridCol w:w="4536"/>
      </w:tblGrid>
      <w:tr>
        <w:trPr>
          <w:tblHeader w:val="true"/>
        </w:trPr>
        <w:tc>
          <w:tcPr>
            <w:tcW w:type="dxa" w:w="2381"/>
            <w:shd w:val="clear" w:color="auto" w:fill="1F3864"/>
          </w:tcPr>
          <w:p>
            <w:pPr>
              <w:spacing w:after="0" w:line="240" w:lineRule="auto"/>
            </w:pPr>
            <w:r/>
            <w:r>
              <w:rPr>
                <w:b/>
                <w:color w:val="FFFFFF"/>
                <w:sz w:val="19"/>
              </w:rPr>
              <w:t>Alan</w:t>
            </w:r>
          </w:p>
        </w:tc>
        <w:tc>
          <w:tcPr>
            <w:tcW w:type="dxa" w:w="6690"/>
            <w:shd w:val="clear" w:color="auto" w:fill="1F3864"/>
          </w:tcPr>
          <w:p>
            <w:pPr>
              <w:spacing w:after="0" w:line="240" w:lineRule="auto"/>
            </w:pPr>
            <w:r/>
            <w:r>
              <w:rPr>
                <w:b/>
                <w:color w:val="FFFFFF"/>
                <w:sz w:val="19"/>
              </w:rPr>
              <w:t>Bilgi</w:t>
            </w:r>
          </w:p>
        </w:tc>
      </w:tr>
      <w:tr>
        <w:tc>
          <w:tcPr>
            <w:tcW w:type="dxa" w:w="2381"/>
            <w:shd w:val="clear" w:color="auto" w:fill="F2F5FA"/>
          </w:tcPr>
          <w:p>
            <w:pPr>
              <w:spacing w:after="0" w:line="240" w:lineRule="auto"/>
            </w:pPr>
            <w:r/>
            <w:r>
              <w:rPr>
                <w:b/>
                <w:sz w:val="19"/>
              </w:rPr>
              <w:t>Tarih / süre</w:t>
            </w:r>
          </w:p>
        </w:tc>
        <w:tc>
          <w:tcPr>
            <w:tcW w:type="dxa" w:w="6690"/>
            <w:shd w:val="clear" w:color="auto" w:fill="F2F5FA"/>
          </w:tcPr>
          <w:p>
            <w:pPr>
              <w:spacing w:after="0" w:line="240" w:lineRule="auto"/>
            </w:pPr>
            <w:r/>
            <w:r>
              <w:rPr>
                <w:b/>
                <w:sz w:val="19"/>
              </w:rPr>
              <w:t>22 Ekim 2026 • yaklaşık 41 dakika</w:t>
            </w:r>
          </w:p>
        </w:tc>
      </w:tr>
      <w:tr>
        <w:tc>
          <w:tcPr>
            <w:tcW w:type="dxa" w:w="2381"/>
            <w:shd w:val="clear" w:color="auto" w:fill="F2F5FA"/>
          </w:tcPr>
          <w:p>
            <w:pPr>
              <w:spacing w:after="0" w:line="240" w:lineRule="auto"/>
            </w:pPr>
            <w:r/>
            <w:r>
              <w:rPr>
                <w:b/>
                <w:sz w:val="19"/>
              </w:rPr>
              <w:t>Konu</w:t>
            </w:r>
          </w:p>
        </w:tc>
        <w:tc>
          <w:tcPr>
            <w:tcW w:type="dxa" w:w="6690"/>
            <w:shd w:val="clear" w:color="auto" w:fill="F2F5FA"/>
          </w:tcPr>
          <w:p>
            <w:pPr>
              <w:spacing w:after="0" w:line="240" w:lineRule="auto"/>
            </w:pPr>
            <w:r/>
            <w:r>
              <w:rPr>
                <w:b/>
                <w:sz w:val="19"/>
              </w:rPr>
              <w:t>Yeni hesaplama kodunun (worker yapısı) durumu, korelasyon adımı için veri akışı, Distance Matrix ve dış taraf entegrasyonu</w:t>
            </w:r>
          </w:p>
        </w:tc>
      </w:tr>
      <w:tr>
        <w:tc>
          <w:tcPr>
            <w:tcW w:type="dxa" w:w="2381"/>
            <w:shd w:val="clear" w:color="auto" w:fill="F2F5FA"/>
          </w:tcPr>
          <w:p>
            <w:pPr>
              <w:spacing w:after="0" w:line="240" w:lineRule="auto"/>
            </w:pPr>
            <w:r/>
            <w:r>
              <w:rPr>
                <w:b/>
                <w:sz w:val="19"/>
              </w:rPr>
              <w:t>Katılımcılar</w:t>
            </w:r>
          </w:p>
        </w:tc>
        <w:tc>
          <w:tcPr>
            <w:tcW w:type="dxa" w:w="6690"/>
            <w:shd w:val="clear" w:color="auto" w:fill="F2F5FA"/>
          </w:tcPr>
          <w:p>
            <w:pPr>
              <w:spacing w:after="0" w:line="240" w:lineRule="auto"/>
            </w:pPr>
            <w:r/>
            <w:r>
              <w:rPr>
                <w:b/>
                <w:sz w:val="19"/>
              </w:rPr>
              <w:t>İki kişilik teknik görüşme (dosya adındaki baş harfler: NA, HG). Kayıt sonunda bir akademik danışmanın (“hocam”) bağlandığı görüşme başlar.</w:t>
            </w:r>
          </w:p>
        </w:tc>
      </w:tr>
    </w:tbl>
    <w:p>
      <w:pPr>
        <w:spacing w:after="80"/>
      </w:pPr>
      <w:r>
        <w:rPr>
          <w:i/>
          <w:color w:val="808080"/>
          <w:sz w:val="16"/>
        </w:rPr>
        <w:t>İsimler kayıttan aktarılmamıştır; konuşmacılar ayrılamadığı için görüşler “bir katılımcı” olarak yazılmıştır. Kayıt kısmen anlaşılmazdır.</w:t>
      </w:r>
    </w:p>
    <w:p>
      <w:pPr>
        <w:pStyle w:val="Heading1"/>
      </w:pPr>
      <w:r>
        <w:t>1. Toplantının Amacı</w:t>
      </w:r>
    </w:p>
    <w:p>
      <w:pPr>
        <w:jc w:val="both"/>
      </w:pPr>
      <w:r>
        <w:rPr/>
        <w:t>Toplantıda, bir katılımcının geliştirdiği yeni worker tabanlı hesaplama yapısının mevcut durumu gösterildi; bu yapının ürettiği çıktıların korelasyon adımında nasıl kullanılacağı, dış bir tarafın sistemine entegrasyon seçenekleri ve Distance Matrix'in nasıl üretileceği ele alındı.</w:t>
      </w:r>
    </w:p>
    <w:p>
      <w:pPr>
        <w:pStyle w:val="Heading1"/>
      </w:pPr>
      <w:r>
        <w:t>2. Yeni Worker Yapısı ve Çıktılar</w:t>
      </w:r>
    </w:p>
    <w:p>
      <w:pPr>
        <w:pStyle w:val="ListBullet"/>
      </w:pPr>
      <w:r>
        <w:rPr/>
        <w:t>Worker, her deprem ve her satır (portföy kalemi) için sonuç üretiyor; çıktılar yalnızca “gross up” ve “gross loss” üzerinden tutuluyor. Her deprem tüm satırları etkilemediğinden süre, etkilenen satır sayısına bağlı olarak değişiyor (üç aşağı beş yukarı). Bir örnekte bir depremde 19 sahadan 14 satırın etkilendiği, başka bir örnekte 21 satırın etkilendiği gösterildi; süre, satır sayısı yaklaşık iki katına çıkınca 30 saniye düzeyinden artıyor.</w:t>
      </w:r>
    </w:p>
    <w:p>
      <w:pPr>
        <w:pStyle w:val="ListBullet"/>
      </w:pPr>
      <w:r>
        <w:rPr/>
        <w:t>Sonuçlar iki boyutlu yapıdan tek boyutlu yapıya dönüştürülerek saklanıyor; açılırken yine iki boyutlu açılıyor. Değerlerin bozulup bozulmadığına dair kontroller yapılacak.</w:t>
      </w:r>
    </w:p>
    <w:p>
      <w:pPr>
        <w:pStyle w:val="ListBullet"/>
      </w:pPr>
      <w:r>
        <w:rPr/>
        <w:t>Sistem hem treaty hem facultative girişleri için aynı worker üzerinden çalışıyor; mesaj, portföyün tipine göre ilgili isimlendirmeyi kullanıyor. İki yapıyı tam ortaklaştırmak, facultative tarafında treaty'de olmayan limit ve benzeri ek unsurlar bulunduğu için yapılmadı; ortaklaştırma kodu silinmedi.</w:t>
      </w:r>
    </w:p>
    <w:p>
      <w:pPr>
        <w:pStyle w:val="Heading1"/>
      </w:pPr>
      <w:r>
        <w:t>3. Korelasyon Adımı ve Veri Akışı</w:t>
      </w:r>
    </w:p>
    <w:p>
      <w:pPr>
        <w:jc w:val="both"/>
      </w:pPr>
      <w:r>
        <w:rPr/>
        <w:t>Korelasyonun rapor formatından bağımsız olarak yapılması gerektiği vurgulandı. Mevcut akışta 50×20 lossların CDF'e çevrilip sonra korelasyonlarla birleştirildiği anlatıldı; CDF'e dönüştürmeden bu adımın yapılıp yapılamayacağı sorusu açık bırakıldı (“kayıtta net değil”). Bir katılımcı korelasyon tarafını, diğeri kendi tarafındaki altyapı ve diğer işleri üstlenecek biçimde bir iş bölümü önerdi; ayrıntıları kayıttan net anlaşılmıyor.</w:t>
      </w:r>
    </w:p>
    <w:p>
      <w:pPr>
        <w:pStyle w:val="Heading1"/>
      </w:pPr>
      <w:r>
        <w:t>4. Treaty / Facultative Ortaklaştırması ve B2 Meselesi</w:t>
      </w:r>
    </w:p>
    <w:p>
      <w:pPr>
        <w:pStyle w:val="ListBullet"/>
      </w:pPr>
      <w:r>
        <w:rPr/>
        <w:t>Parametrik tarafta sorun olmadığı: herkes için akışın “gelen veriyi çarp ve gönder” biçiminde aynı olduğu belirtildi.</w:t>
      </w:r>
    </w:p>
    <w:p>
      <w:pPr>
        <w:pStyle w:val="ListBullet"/>
      </w:pPr>
      <w:r>
        <w:rPr/>
        <w:t>Facultative tarafında bir “line” içinde birden fazla yapı (structure/contents) bulunabildiği ve B2 kullanımında hesaplama mantığının farklılaştığı, bu yüzden iki yapının tam birleştirilemeyeceği değerlendirildi.</w:t>
      </w:r>
    </w:p>
    <w:p>
      <w:pPr>
        <w:pStyle w:val="ListBullet"/>
      </w:pPr>
      <w:r>
        <w:rPr/>
        <w:t>Eğer B2 kullanılmayacaksa tek bir çözümle ilerlenebileceği ifade edildi.</w:t>
      </w:r>
    </w:p>
    <w:p>
      <w:pPr>
        <w:pStyle w:val="Heading1"/>
      </w:pPr>
      <w:r>
        <w:t>5. Dış Taraf (Satıcı) Entegrasyonu</w:t>
      </w:r>
    </w:p>
    <w:p>
      <w:pPr>
        <w:jc w:val="both"/>
      </w:pPr>
      <w:r>
        <w:rPr/>
        <w:t>Konuşulan dış tarafın, satır bazlı sonuç beklediği ancak “50×20” matrisinin bu tarafın kendi yöntemlerinden biri olduğu ve onların sistemlerinde doğrudan bilinmediği kaydedildi. Dış tarafın daha önce “modeli kendi içinize yazın, entegrasyonu biz yaparız” yaklaşımını önerdiği hatırlandı.</w:t>
      </w:r>
    </w:p>
    <w:p>
      <w:pPr>
        <w:pStyle w:val="ListBullet"/>
      </w:pPr>
      <w:r>
        <w:rPr/>
        <w:t>Önerilen yaklaşım: 50×20 loss sonuçlarını ortak bir depolama alanına koymak ve dış tarafın bunları kullanmasını sağlamak; gerekirse kodu da paylaşmak.</w:t>
      </w:r>
    </w:p>
    <w:p>
      <w:pPr>
        <w:pStyle w:val="ListBullet"/>
      </w:pPr>
      <w:r>
        <w:rPr/>
        <w:t>Dış tarafın yapıcı ve açık bir ekip olduğu, ayrıca bu tarafın müşteri değil satıcı konumunda olup ortak bir ürün geliştirildiği belirtildi.</w:t>
      </w:r>
    </w:p>
    <w:p>
      <w:pPr>
        <w:pStyle w:val="Heading1"/>
      </w:pPr>
      <w:r>
        <w:t>6. Deprem Bazlı Sonuç Saklama ve Distance Matrix</w:t>
      </w:r>
    </w:p>
    <w:p>
      <w:pPr>
        <w:pStyle w:val="ListBullet"/>
      </w:pPr>
      <w:r>
        <w:rPr/>
        <w:t>Mesajda deprem kimliği (event UUID) ve yıl bilgisi gönderiliyor; sistem GMM/RAN kimliğinden etkilenen sahalara ve kümüldeki ilgili satırlara ulaşıyor. Event result dosyaları il/yıl bazından deprem bazına geçirildi. Bu yapının henüz tam doğrulanmadığı, “çalışıyor ve doğru görünüyor” düzeyinde olduğu, ayrıntılı kontrol gerektiği söylendi.</w:t>
      </w:r>
    </w:p>
    <w:p>
      <w:pPr>
        <w:pStyle w:val="ListBullet"/>
      </w:pPr>
      <w:r>
        <w:rPr/>
        <w:t>Benchmark olarak 10.000 satırlık, 5.000'er satırlık iki depremli bir deneme yapıldı.</w:t>
      </w:r>
    </w:p>
    <w:p>
      <w:pPr>
        <w:pStyle w:val="ListBullet"/>
      </w:pPr>
      <w:r>
        <w:rPr/>
        <w:t>Distance Matrix hesabına dokunulmadı. Eskiden il bazında oluşturulup saklanan Distance Matrix'in, yeni lokasyonlar girdikçe büyüdüğü; örnek olarak 23.000 lokasyonlu bir portföyde matris boyutunun GB mertebesine (örnekte 4 GB ve 8 GB düzeyleri anıldı) ulaştığı görüldü.</w:t>
      </w:r>
    </w:p>
    <w:p>
      <w:pPr>
        <w:pStyle w:val="ListBullet"/>
      </w:pPr>
      <w:r>
        <w:rPr/>
        <w:t>Her deprem için gerekli lokasyonlara göre matrisin ihtiyaç anında, ilgili platformda (kayıtta “porter”) üretilip üretilemeyeceği değerlendirildi. Verimliliğin deneme ile görülmesi üzerinde duruldu.</w:t>
      </w:r>
    </w:p>
    <w:p>
      <w:pPr>
        <w:pStyle w:val="Heading1"/>
      </w:pPr>
      <w:r>
        <w:t>7. Müzakere ve Değerlendirmeler</w:t>
      </w:r>
    </w:p>
    <w:p>
      <w:pPr>
        <w:pStyle w:val="ListBullet"/>
      </w:pPr>
      <w:r>
        <w:rPr/>
        <w:t>Eski sistemle karşılaştırma için 1 line ve 2–3 line'lı örneklerle “eski-yeni” kıyaslaması yapılması önerildi.</w:t>
      </w:r>
    </w:p>
    <w:p>
      <w:pPr>
        <w:pStyle w:val="ListBullet"/>
      </w:pPr>
      <w:r>
        <w:rPr/>
        <w:t>Yeni yapının, şehir bazlı olmayıp tüm lokasyonları deprem bazında tek seferde ele almasının avantajı olduğu belirtildi.</w:t>
      </w:r>
    </w:p>
    <w:p>
      <w:pPr>
        <w:pStyle w:val="ListBullet"/>
      </w:pPr>
      <w:r>
        <w:rPr/>
        <w:t>Disk/RAM ihtiyacının önce hesaplanması, gerekirse dış tarafla görüşülerek (ör. yaklaşık 500 GB alan talebi) ayrılabilecek alanın sorulması gündeme geldi.</w:t>
      </w:r>
    </w:p>
    <w:p>
      <w:pPr>
        <w:pStyle w:val="Heading1"/>
      </w:pPr>
      <w:r>
        <w:t>8. Kararlar ve Aksiyon Maddeleri</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50" w:type="dxa"/>
          <w:left w:w="90" w:type="dxa"/>
          <w:bottom w:w="50" w:type="dxa"/>
          <w:right w:w="90" w:type="dxa"/>
        </w:tblCellMar>
      </w:tblPr>
      <w:tblGrid>
        <w:gridCol w:w="3024"/>
        <w:gridCol w:w="3024"/>
        <w:gridCol w:w="3024"/>
      </w:tblGrid>
      <w:tr>
        <w:trPr>
          <w:tblHeader w:val="true"/>
        </w:trPr>
        <w:tc>
          <w:tcPr>
            <w:tcW w:type="dxa" w:w="567"/>
            <w:shd w:val="clear" w:color="auto" w:fill="1F3864"/>
          </w:tcPr>
          <w:p>
            <w:pPr>
              <w:spacing w:after="0" w:line="240" w:lineRule="auto"/>
            </w:pPr>
            <w:r/>
            <w:r>
              <w:rPr>
                <w:b/>
                <w:color w:val="FFFFFF"/>
                <w:sz w:val="19"/>
              </w:rPr>
              <w:t>#</w:t>
            </w:r>
          </w:p>
        </w:tc>
        <w:tc>
          <w:tcPr>
            <w:tcW w:type="dxa" w:w="5953"/>
            <w:shd w:val="clear" w:color="auto" w:fill="1F3864"/>
          </w:tcPr>
          <w:p>
            <w:pPr>
              <w:spacing w:after="0" w:line="240" w:lineRule="auto"/>
            </w:pPr>
            <w:r/>
            <w:r>
              <w:rPr>
                <w:b/>
                <w:color w:val="FFFFFF"/>
                <w:sz w:val="19"/>
              </w:rPr>
              <w:t>Aksiyon</w:t>
            </w:r>
          </w:p>
        </w:tc>
        <w:tc>
          <w:tcPr>
            <w:tcW w:type="dxa" w:w="2551"/>
            <w:shd w:val="clear" w:color="auto" w:fill="1F3864"/>
          </w:tcPr>
          <w:p>
            <w:pPr>
              <w:spacing w:after="0" w:line="240" w:lineRule="auto"/>
            </w:pPr>
            <w:r/>
            <w:r>
              <w:rPr>
                <w:b/>
                <w:color w:val="FFFFFF"/>
                <w:sz w:val="19"/>
              </w:rPr>
              <w:t>Sorumlu</w:t>
            </w:r>
          </w:p>
        </w:tc>
      </w:tr>
      <w:tr>
        <w:tc>
          <w:tcPr>
            <w:tcW w:type="dxa" w:w="567"/>
            <w:shd w:val="clear" w:color="auto" w:fill="F2F5FA"/>
          </w:tcPr>
          <w:p>
            <w:pPr>
              <w:spacing w:after="0" w:line="240" w:lineRule="auto"/>
            </w:pPr>
            <w:r/>
            <w:r>
              <w:rPr>
                <w:sz w:val="19"/>
              </w:rPr>
              <w:t>1</w:t>
            </w:r>
          </w:p>
        </w:tc>
        <w:tc>
          <w:tcPr>
            <w:tcW w:type="dxa" w:w="5953"/>
            <w:shd w:val="clear" w:color="auto" w:fill="F2F5FA"/>
          </w:tcPr>
          <w:p>
            <w:pPr>
              <w:spacing w:after="0" w:line="240" w:lineRule="auto"/>
            </w:pPr>
            <w:r/>
            <w:r>
              <w:rPr>
                <w:sz w:val="19"/>
              </w:rPr>
              <w:t>Veri çekebilen platform ortamının kurulması; 50×20 lossların bu ortama çekilip hazır hâlde teslim edilmesi.</w:t>
            </w:r>
          </w:p>
        </w:tc>
        <w:tc>
          <w:tcPr>
            <w:tcW w:type="dxa" w:w="2551"/>
            <w:shd w:val="clear" w:color="auto" w:fill="F2F5FA"/>
          </w:tcPr>
          <w:p>
            <w:pPr>
              <w:spacing w:after="0" w:line="240" w:lineRule="auto"/>
            </w:pPr>
            <w:r/>
            <w:r>
              <w:rPr>
                <w:sz w:val="19"/>
              </w:rPr>
              <w:t>Worker yapısını geliştiren katılımcı</w:t>
            </w:r>
          </w:p>
        </w:tc>
      </w:tr>
      <w:tr>
        <w:tc>
          <w:tcPr>
            <w:tcW w:type="dxa" w:w="567"/>
            <w:shd w:val="clear" w:color="auto" w:fill="F2F5FA"/>
          </w:tcPr>
          <w:p>
            <w:pPr>
              <w:spacing w:after="0" w:line="240" w:lineRule="auto"/>
            </w:pPr>
            <w:r/>
            <w:r>
              <w:rPr>
                <w:sz w:val="19"/>
              </w:rPr>
              <w:t>2</w:t>
            </w:r>
          </w:p>
        </w:tc>
        <w:tc>
          <w:tcPr>
            <w:tcW w:type="dxa" w:w="5953"/>
            <w:shd w:val="clear" w:color="auto" w:fill="F2F5FA"/>
          </w:tcPr>
          <w:p>
            <w:pPr>
              <w:spacing w:after="0" w:line="240" w:lineRule="auto"/>
            </w:pPr>
            <w:r/>
            <w:r>
              <w:rPr>
                <w:sz w:val="19"/>
              </w:rPr>
              <w:t>Korelasyon adımının, üretilen loss çıktıları üzerinden değerlendirilmesi.</w:t>
            </w:r>
          </w:p>
        </w:tc>
        <w:tc>
          <w:tcPr>
            <w:tcW w:type="dxa" w:w="2551"/>
            <w:shd w:val="clear" w:color="auto" w:fill="F2F5FA"/>
          </w:tcPr>
          <w:p>
            <w:pPr>
              <w:spacing w:after="0" w:line="240" w:lineRule="auto"/>
            </w:pPr>
            <w:r/>
            <w:r>
              <w:rPr>
                <w:sz w:val="19"/>
              </w:rPr>
              <w:t>Diğer katılımcı</w:t>
            </w:r>
          </w:p>
        </w:tc>
      </w:tr>
      <w:tr>
        <w:tc>
          <w:tcPr>
            <w:tcW w:type="dxa" w:w="567"/>
            <w:shd w:val="clear" w:color="auto" w:fill="F2F5FA"/>
          </w:tcPr>
          <w:p>
            <w:pPr>
              <w:spacing w:after="0" w:line="240" w:lineRule="auto"/>
            </w:pPr>
            <w:r/>
            <w:r>
              <w:rPr>
                <w:sz w:val="19"/>
              </w:rPr>
              <w:t>3</w:t>
            </w:r>
          </w:p>
        </w:tc>
        <w:tc>
          <w:tcPr>
            <w:tcW w:type="dxa" w:w="5953"/>
            <w:shd w:val="clear" w:color="auto" w:fill="F2F5FA"/>
          </w:tcPr>
          <w:p>
            <w:pPr>
              <w:spacing w:after="0" w:line="240" w:lineRule="auto"/>
            </w:pPr>
            <w:r/>
            <w:r>
              <w:rPr>
                <w:sz w:val="19"/>
              </w:rPr>
              <w:t>RAM/disk ihtiyacının hesaplanması ve dış taraftan ne kadar alan verilebileceğinin sorulması.</w:t>
            </w:r>
          </w:p>
        </w:tc>
        <w:tc>
          <w:tcPr>
            <w:tcW w:type="dxa" w:w="2551"/>
            <w:shd w:val="clear" w:color="auto" w:fill="F2F5FA"/>
          </w:tcPr>
          <w:p>
            <w:pPr>
              <w:spacing w:after="0" w:line="240" w:lineRule="auto"/>
            </w:pPr>
            <w:r/>
            <w:r>
              <w:rPr>
                <w:sz w:val="19"/>
              </w:rPr>
              <w:t>Belirtilmedi</w:t>
            </w:r>
          </w:p>
        </w:tc>
      </w:tr>
      <w:tr>
        <w:tc>
          <w:tcPr>
            <w:tcW w:type="dxa" w:w="567"/>
            <w:shd w:val="clear" w:color="auto" w:fill="F2F5FA"/>
          </w:tcPr>
          <w:p>
            <w:pPr>
              <w:spacing w:after="0" w:line="240" w:lineRule="auto"/>
            </w:pPr>
            <w:r/>
            <w:r>
              <w:rPr>
                <w:sz w:val="19"/>
              </w:rPr>
              <w:t>4</w:t>
            </w:r>
          </w:p>
        </w:tc>
        <w:tc>
          <w:tcPr>
            <w:tcW w:type="dxa" w:w="5953"/>
            <w:shd w:val="clear" w:color="auto" w:fill="F2F5FA"/>
          </w:tcPr>
          <w:p>
            <w:pPr>
              <w:spacing w:after="0" w:line="240" w:lineRule="auto"/>
            </w:pPr>
            <w:r/>
            <w:r>
              <w:rPr>
                <w:sz w:val="19"/>
              </w:rPr>
              <w:t>Distance Matrix'in ilgili platformda üretiminin denenmesi; süre ve verimliliğin görülmesi.</w:t>
            </w:r>
          </w:p>
        </w:tc>
        <w:tc>
          <w:tcPr>
            <w:tcW w:type="dxa" w:w="2551"/>
            <w:shd w:val="clear" w:color="auto" w:fill="F2F5FA"/>
          </w:tcPr>
          <w:p>
            <w:pPr>
              <w:spacing w:after="0" w:line="240" w:lineRule="auto"/>
            </w:pPr>
            <w:r/>
            <w:r>
              <w:rPr>
                <w:sz w:val="19"/>
              </w:rPr>
              <w:t>Belirtilmedi</w:t>
            </w:r>
          </w:p>
        </w:tc>
      </w:tr>
      <w:tr>
        <w:tc>
          <w:tcPr>
            <w:tcW w:type="dxa" w:w="567"/>
            <w:shd w:val="clear" w:color="auto" w:fill="F2F5FA"/>
          </w:tcPr>
          <w:p>
            <w:pPr>
              <w:spacing w:after="0" w:line="240" w:lineRule="auto"/>
            </w:pPr>
            <w:r/>
            <w:r>
              <w:rPr>
                <w:sz w:val="19"/>
              </w:rPr>
              <w:t>5</w:t>
            </w:r>
          </w:p>
        </w:tc>
        <w:tc>
          <w:tcPr>
            <w:tcW w:type="dxa" w:w="5953"/>
            <w:shd w:val="clear" w:color="auto" w:fill="F2F5FA"/>
          </w:tcPr>
          <w:p>
            <w:pPr>
              <w:spacing w:after="0" w:line="240" w:lineRule="auto"/>
            </w:pPr>
            <w:r/>
            <w:r>
              <w:rPr>
                <w:sz w:val="19"/>
              </w:rPr>
              <w:t>Eski ve yeni sistemin 1/2/3 line'lı örneklerle karşılaştırılması.</w:t>
            </w:r>
          </w:p>
        </w:tc>
        <w:tc>
          <w:tcPr>
            <w:tcW w:type="dxa" w:w="2551"/>
            <w:shd w:val="clear" w:color="auto" w:fill="F2F5FA"/>
          </w:tcPr>
          <w:p>
            <w:pPr>
              <w:spacing w:after="0" w:line="240" w:lineRule="auto"/>
            </w:pPr>
            <w:r/>
            <w:r>
              <w:rPr>
                <w:sz w:val="19"/>
              </w:rPr>
              <w:t>Belirtilmedi</w:t>
            </w:r>
          </w:p>
        </w:tc>
      </w:tr>
      <w:tr>
        <w:tc>
          <w:tcPr>
            <w:tcW w:type="dxa" w:w="567"/>
            <w:shd w:val="clear" w:color="auto" w:fill="F2F5FA"/>
          </w:tcPr>
          <w:p>
            <w:pPr>
              <w:spacing w:after="0" w:line="240" w:lineRule="auto"/>
            </w:pPr>
            <w:r/>
            <w:r>
              <w:rPr>
                <w:sz w:val="19"/>
              </w:rPr>
              <w:t>6</w:t>
            </w:r>
          </w:p>
        </w:tc>
        <w:tc>
          <w:tcPr>
            <w:tcW w:type="dxa" w:w="5953"/>
            <w:shd w:val="clear" w:color="auto" w:fill="F2F5FA"/>
          </w:tcPr>
          <w:p>
            <w:pPr>
              <w:spacing w:after="0" w:line="240" w:lineRule="auto"/>
            </w:pPr>
            <w:r/>
            <w:r>
              <w:rPr>
                <w:sz w:val="19"/>
              </w:rPr>
              <w:t>Deprem bazlı sonuç dosyaları ve tek/iki boyutlu dönüşüm için ayrıntılı doğruluk kontrolü.</w:t>
            </w:r>
          </w:p>
        </w:tc>
        <w:tc>
          <w:tcPr>
            <w:tcW w:type="dxa" w:w="2551"/>
            <w:shd w:val="clear" w:color="auto" w:fill="F2F5FA"/>
          </w:tcPr>
          <w:p>
            <w:pPr>
              <w:spacing w:after="0" w:line="240" w:lineRule="auto"/>
            </w:pPr>
            <w:r/>
            <w:r>
              <w:rPr>
                <w:sz w:val="19"/>
              </w:rPr>
              <w:t>Worker yapısını geliştiren katılımcı</w:t>
            </w:r>
          </w:p>
        </w:tc>
      </w:tr>
      <w:tr>
        <w:tc>
          <w:tcPr>
            <w:tcW w:type="dxa" w:w="567"/>
            <w:shd w:val="clear" w:color="auto" w:fill="F2F5FA"/>
          </w:tcPr>
          <w:p>
            <w:pPr>
              <w:spacing w:after="0" w:line="240" w:lineRule="auto"/>
            </w:pPr>
            <w:r/>
            <w:r>
              <w:rPr>
                <w:sz w:val="19"/>
              </w:rPr>
              <w:t>7</w:t>
            </w:r>
          </w:p>
        </w:tc>
        <w:tc>
          <w:tcPr>
            <w:tcW w:type="dxa" w:w="5953"/>
            <w:shd w:val="clear" w:color="auto" w:fill="F2F5FA"/>
          </w:tcPr>
          <w:p>
            <w:pPr>
              <w:spacing w:after="0" w:line="240" w:lineRule="auto"/>
            </w:pPr>
            <w:r/>
            <w:r>
              <w:rPr>
                <w:sz w:val="19"/>
              </w:rPr>
              <w:t>Dış tarafa model/kod ve loss çıktılarının paylaşım yönteminin netleştirilmesi.</w:t>
            </w:r>
          </w:p>
        </w:tc>
        <w:tc>
          <w:tcPr>
            <w:tcW w:type="dxa" w:w="2551"/>
            <w:shd w:val="clear" w:color="auto" w:fill="F2F5FA"/>
          </w:tcPr>
          <w:p>
            <w:pPr>
              <w:spacing w:after="0" w:line="240" w:lineRule="auto"/>
            </w:pPr>
            <w:r/>
            <w:r>
              <w:rPr>
                <w:sz w:val="19"/>
              </w:rPr>
              <w:t>Belirtilmedi</w:t>
            </w:r>
          </w:p>
        </w:tc>
      </w:tr>
    </w:tbl>
    <w:p>
      <w:pPr>
        <w:spacing w:after="40"/>
      </w:pPr>
    </w:p>
    <w:p>
      <w:pPr>
        <w:pStyle w:val="Heading1"/>
      </w:pPr>
      <w:r>
        <w:t>9. Danışmanla Görüşmeye Geçiş</w:t>
      </w:r>
    </w:p>
    <w:p>
      <w:pPr>
        <w:jc w:val="both"/>
      </w:pPr>
      <w:r>
        <w:rPr/>
        <w:t>Kaydın son bölümünde görüşmeye bir akademik danışman (“hocam”) katıldı ve ekran paylaşımıyla bir sunum/belge üzerinden inceleme başladı. Soru olarak, her senaryo için DASK expozür toplamının (Marmara S4 senaryosu için yaklaşık 300 km içinde 86,3 milyar euro) ve 0,35 g'yi aşan toplam expozürün (yaklaşık 660 milyon euro) verildiği hesaplama sorgulandı; ayrıca dört senaryoda episantırların aynı alınmasına dikkat çekildi. Kayıt bu noktada sona erdiği için değerlendirmenin sonucu aktarılamamıştır.</w:t>
      </w:r>
    </w:p>
    <w:p>
      <w:pPr>
        <w:spacing w:before="240"/>
      </w:pPr>
      <w:r>
        <w:rPr>
          <w:i/>
          <w:color w:val="808080"/>
          <w:sz w:val="18"/>
        </w:rPr>
        <w:t>Not: Bu rapor, toplantı ses kaydının dökümünden düzenlenmiştir. Döküm makine çıktısıdır; teknik terimlerde (ör. worker, treaty/facultative, “porter”, “rovay”, “seceble”) ve konuşmacı ayrımında belirsizlikler vardır, anlaşılmayan ifadeler rapora alınmamıştır. Konuşmacılar ayrılamadığından sorumlusu belli olmayan aksiyonlara “Belirtilmedi” yazılmıştır. Toplantı tarihi dosya adından (261022) alınmıştır.</w:t>
      </w:r>
    </w:p>
    <w:sectPr w:rsidR="00FC693F" w:rsidRPr="0006063C" w:rsidSect="00034616">
      <w:footerReference w:type="default" r:id="rId9"/>
      <w:pgSz w:w="11906" w:h="16838"/>
      <w:pgMar w:top="1417" w:right="1417" w:bottom="1417" w:left="1417" w:header="72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C9A227"/>
      </w:pBdr>
      <w:tabs>
        <w:tab w:pos="9071" w:val="right"/>
      </w:tabs>
    </w:pPr>
    <w:r/>
    <w:r>
      <w:rPr>
        <w:color w:val="808080"/>
        <w:sz w:val="16"/>
      </w:rPr>
      <w:t>Yeni Kod Teknik Değerlendirmesi — Toplantı Raporu</w:t>
    </w:r>
    <w:r>
      <w:rPr>
        <w:color w:val="808080"/>
        <w:sz w:val="16"/>
      </w:rPr>
      <w:tab/>
      <w:t xml:space="preserve">Sayfa </w:t>
    </w:r>
    <w:r>
      <w:rPr>
        <w:color w:val="808080"/>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30"/>
      <w:outlineLvl w:val="0"/>
      <w:pBdr>
        <w:bottom w:val="single" w:sz="6" w:space="4" w:color="C9A227"/>
      </w:pBdr>
    </w:pPr>
    <w:rPr>
      <w:rFonts w:ascii="Calibri" w:hAnsi="Calibri" w:eastAsia="Calibri" w:cs="Calibri"/>
      <w:b/>
      <w:bCs/>
      <w:i w:val="0"/>
      <w:color w:val="1F3864"/>
      <w:sz w:val="27"/>
      <w:szCs w:val="28"/>
    </w:rPr>
  </w:style>
  <w:style w:type="paragraph" w:styleId="Heading2">
    <w:name w:val="heading 2"/>
    <w:basedOn w:val="Normal"/>
    <w:next w:val="Normal"/>
    <w:link w:val="Heading2Char"/>
    <w:uiPriority w:val="9"/>
    <w:unhideWhenUsed/>
    <w:qFormat/>
    <w:rsid w:val="00FC693F"/>
    <w:pPr>
      <w:keepNext/>
      <w:keepLines/>
      <w:spacing w:before="180" w:after="90"/>
      <w:outlineLvl w:val="1"/>
    </w:pPr>
    <w:rPr>
      <w:rFonts w:ascii="Calibri" w:hAnsi="Calibri" w:eastAsia="Calibri" w:cs="Calibri"/>
      <w:b/>
      <w:bCs/>
      <w:i w:val="0"/>
      <w:color w:val="2E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jc w:val="both"/>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jc w:val="both"/>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Toplantı Raporu</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