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Toplantı Raporu</w:t>
      </w:r>
    </w:p>
    <w:p>
      <w:pPr>
        <w:spacing w:after="40"/>
        <w:jc w:val="center"/>
      </w:pPr>
      <w:r>
        <w:rPr>
          <w:color w:val="2E5496"/>
          <w:sz w:val="25"/>
        </w:rPr>
        <w:t>Türkre Parametrik Deprem Teminatı — Munich Re Toplantısı Öncesi Ön Konuşma</w:t>
      </w:r>
    </w:p>
    <w:p>
      <w:pPr>
        <w:spacing w:after="240"/>
        <w:jc w:val="center"/>
        <w:pBdr>
          <w:bottom w:val="single" w:sz="6" w:space="6" w:color="C9A227"/>
        </w:pBdr>
      </w:pPr>
      <w:r>
        <w:rPr>
          <w:color w:val="808080"/>
          <w:sz w:val="18"/>
        </w:rPr>
        <w:t>23 Ekim 2026  •  Türkre iç değerlendirme → Munich Re toplantısı öncesi hazırlık</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4536"/>
        <w:gridCol w:w="4536"/>
      </w:tblGrid>
      <w:tr>
        <w:trPr>
          <w:tblHeader w:val="true"/>
        </w:trPr>
        <w:tc>
          <w:tcPr>
            <w:tcW w:type="dxa" w:w="2381"/>
            <w:shd w:val="clear" w:color="auto" w:fill="1F3864"/>
          </w:tcPr>
          <w:p>
            <w:pPr>
              <w:spacing w:after="0" w:line="240" w:lineRule="auto"/>
            </w:pPr>
            <w:r/>
            <w:r>
              <w:rPr>
                <w:b/>
                <w:color w:val="FFFFFF"/>
                <w:sz w:val="19"/>
              </w:rPr>
              <w:t>Alan</w:t>
            </w:r>
          </w:p>
        </w:tc>
        <w:tc>
          <w:tcPr>
            <w:tcW w:type="dxa" w:w="6690"/>
            <w:shd w:val="clear" w:color="auto" w:fill="1F3864"/>
          </w:tcPr>
          <w:p>
            <w:pPr>
              <w:spacing w:after="0" w:line="240" w:lineRule="auto"/>
            </w:pPr>
            <w:r/>
            <w:r>
              <w:rPr>
                <w:b/>
                <w:color w:val="FFFFFF"/>
                <w:sz w:val="19"/>
              </w:rPr>
              <w:t>Bilgi</w:t>
            </w:r>
          </w:p>
        </w:tc>
      </w:tr>
      <w:tr>
        <w:tc>
          <w:tcPr>
            <w:tcW w:type="dxa" w:w="2381"/>
            <w:shd w:val="clear" w:color="auto" w:fill="F2F5FA"/>
          </w:tcPr>
          <w:p>
            <w:pPr>
              <w:spacing w:after="0" w:line="240" w:lineRule="auto"/>
            </w:pPr>
            <w:r/>
            <w:r>
              <w:rPr>
                <w:b/>
                <w:sz w:val="19"/>
              </w:rPr>
              <w:t>Tarih / süre</w:t>
            </w:r>
          </w:p>
        </w:tc>
        <w:tc>
          <w:tcPr>
            <w:tcW w:type="dxa" w:w="6690"/>
            <w:shd w:val="clear" w:color="auto" w:fill="F2F5FA"/>
          </w:tcPr>
          <w:p>
            <w:pPr>
              <w:spacing w:after="0" w:line="240" w:lineRule="auto"/>
            </w:pPr>
            <w:r/>
            <w:r>
              <w:rPr>
                <w:b/>
                <w:sz w:val="19"/>
              </w:rPr>
              <w:t>23 Ekim 2026 • yaklaşık 27 dakika (kayıt saati belirtilmemiştir; konuşma, aynı gün saat 11:00 civarındaki Munich Re toplantısından önce yapılmıştır)</w:t>
            </w:r>
          </w:p>
        </w:tc>
      </w:tr>
      <w:tr>
        <w:tc>
          <w:tcPr>
            <w:tcW w:type="dxa" w:w="2381"/>
            <w:shd w:val="clear" w:color="auto" w:fill="F2F5FA"/>
          </w:tcPr>
          <w:p>
            <w:pPr>
              <w:spacing w:after="0" w:line="240" w:lineRule="auto"/>
            </w:pPr>
            <w:r/>
            <w:r>
              <w:rPr>
                <w:b/>
                <w:sz w:val="19"/>
              </w:rPr>
              <w:t>Konu</w:t>
            </w:r>
          </w:p>
        </w:tc>
        <w:tc>
          <w:tcPr>
            <w:tcW w:type="dxa" w:w="6690"/>
            <w:shd w:val="clear" w:color="auto" w:fill="F2F5FA"/>
          </w:tcPr>
          <w:p>
            <w:pPr>
              <w:spacing w:after="0" w:line="240" w:lineRule="auto"/>
            </w:pPr>
            <w:r/>
            <w:r>
              <w:rPr>
                <w:b/>
                <w:sz w:val="19"/>
              </w:rPr>
              <w:t>Önerilen parametrik deprem teminatının ödeme (payout) yapısının, seçilen deprem senaryoları üzerinden değerlendirilmesi</w:t>
            </w:r>
          </w:p>
        </w:tc>
      </w:tr>
      <w:tr>
        <w:tc>
          <w:tcPr>
            <w:tcW w:type="dxa" w:w="2381"/>
            <w:shd w:val="clear" w:color="auto" w:fill="F2F5FA"/>
          </w:tcPr>
          <w:p>
            <w:pPr>
              <w:spacing w:after="0" w:line="240" w:lineRule="auto"/>
            </w:pPr>
            <w:r/>
            <w:r>
              <w:rPr>
                <w:b/>
                <w:sz w:val="19"/>
              </w:rPr>
              <w:t>Katılımcılar</w:t>
            </w:r>
          </w:p>
        </w:tc>
        <w:tc>
          <w:tcPr>
            <w:tcW w:type="dxa" w:w="6690"/>
            <w:shd w:val="clear" w:color="auto" w:fill="F2F5FA"/>
          </w:tcPr>
          <w:p>
            <w:pPr>
              <w:spacing w:after="0" w:line="240" w:lineRule="auto"/>
            </w:pPr>
            <w:r/>
            <w:r>
              <w:rPr>
                <w:b/>
                <w:sz w:val="19"/>
              </w:rPr>
              <w:t>Kayıttan net değil; Türkre tarafı ile modelleme çalışmasını yürüten ekip. Konuşmada Özgür Bey, Sinan Hoca, Ege ve Utku adları geçmektedir.</w:t>
            </w:r>
          </w:p>
        </w:tc>
      </w:tr>
    </w:tbl>
    <w:p>
      <w:pPr>
        <w:spacing w:after="80"/>
      </w:pPr>
      <w:r>
        <w:rPr>
          <w:i/>
          <w:color w:val="808080"/>
          <w:sz w:val="16"/>
        </w:rPr>
        <w:t>İsimler kayıttan aktarılmıştır; bazı isimlerde yazım farkı olabilir.</w:t>
      </w:r>
    </w:p>
    <w:p>
      <w:pPr>
        <w:pStyle w:val="Heading1"/>
      </w:pPr>
      <w:r>
        <w:t>1. Toplantının Amacı</w:t>
      </w:r>
    </w:p>
    <w:p>
      <w:pPr>
        <w:jc w:val="both"/>
      </w:pPr>
      <w:r>
        <w:rPr/>
        <w:t>Toplantı, aynı gün yapılacak Munich Re görüşmesi öncesinde, önerilen parametrik yapının nasıl çalıştığının modelleme ekibi tarafından Türkre yöneticilerine aktarılması ve soruların alınması amacıyla yapılmıştır. Hedef, Munich Re toplantısına ortak bir bakışla girmek; ardından payout yapısının uygun olup olmadığına dair yazılı bir değerlendirme hazırlamaktır.</w:t>
      </w:r>
    </w:p>
    <w:p>
      <w:pPr>
        <w:pStyle w:val="Heading1"/>
      </w:pPr>
      <w:r>
        <w:t>2. Arka Plan</w:t>
      </w:r>
    </w:p>
    <w:p>
      <w:pPr>
        <w:pStyle w:val="ListBullet"/>
      </w:pPr>
      <w:r>
        <w:rPr/>
        <w:t>Teklif, daha önce hazırlanmış değerler kullanılarak bir dönem için önerilmiştir; çalışmada Marsh'ın da yorumları bulunmaktadır.</w:t>
      </w:r>
    </w:p>
    <w:p>
      <w:pPr>
        <w:pStyle w:val="ListBullet"/>
      </w:pPr>
      <w:r>
        <w:rPr/>
        <w:t>Bazı birimlerin (kayıtta "fight unit" olarak geçmektedir, net değil) yeniden yapılması önerilmiş; bunun 3–4 hafta süreceği, bu nedenle şimdilik bırakılıp dış görüş alınmasının tercih edildiği belirtilmiştir.</w:t>
      </w:r>
    </w:p>
    <w:p>
      <w:pPr>
        <w:pStyle w:val="ListBullet"/>
      </w:pPr>
      <w:r>
        <w:rPr/>
        <w:t>Özgür Bey onay verdikten sonra gelecek yıl bir katastrofik tahvil (cat bond) çalışması da yapılacaktır.</w:t>
      </w:r>
    </w:p>
    <w:p>
      <w:pPr>
        <w:pStyle w:val="ListBullet"/>
      </w:pPr>
      <w:r>
        <w:rPr/>
        <w:t>SEDDK tarafındaki gelişmeler İngilizce bilen ve reasürans konusunu bilen kişilere anlatılmış, Ege tekrar anlatmış, Özgür Bey bilgilendirilmiştir. Bir tarihin (kayıtta "27'si") ertelendiği söylenmiştir; ayrıntı kayıttan net anlaşılamamaktadır.</w:t>
      </w:r>
    </w:p>
    <w:p>
      <w:pPr>
        <w:pStyle w:val="Heading1"/>
      </w:pPr>
      <w:r>
        <w:t>3. Önerilen Parametrik Yapı ve Tetikleyici</w:t>
      </w:r>
    </w:p>
    <w:p>
      <w:pPr>
        <w:jc w:val="both"/>
      </w:pPr>
      <w:r>
        <w:rPr/>
        <w:t>Yapının sözleşmesel koşulları (primler, ödemeler) tartışmanın odağı olmamış; ilgi, senaryoların nasıl tetiklendiği ve ödemenin nasıl yapıldığı üzerinde yoğunlaşmıştır.</w:t>
      </w:r>
    </w:p>
    <w:p>
      <w:pPr>
        <w:pStyle w:val="ListBullet"/>
      </w:pPr>
      <w:r>
        <w:rPr>
          <w:b/>
        </w:rPr>
        <w:t>Kapasite:</w:t>
      </w:r>
      <w:r>
        <w:rPr/>
        <w:t xml:space="preserve"> Geleneksel programın 300 milyon üzerinde 100 milyon; yetmemesi halinde 400 milyon üzerinde bir 100 milyon daha parametrik kapasite alınmaktadır. İki dilim için ayrı primler bulunmaktadır.</w:t>
      </w:r>
    </w:p>
    <w:p>
      <w:pPr>
        <w:pStyle w:val="ListBullet"/>
      </w:pPr>
      <w:r>
        <w:rPr>
          <w:b/>
        </w:rPr>
        <w:t>Tetikleyici:</w:t>
      </w:r>
      <w:r>
        <w:rPr/>
        <w:t xml:space="preserve"> Hücre bazında medyan PGA değerinin 0,35 g ve üzerinde olması ve ilgili hücrede kümül (maruziyet) bulunması durumunda ödeme tetiklenmektedir.</w:t>
      </w:r>
    </w:p>
    <w:p>
      <w:pPr>
        <w:pStyle w:val="ListBullet"/>
      </w:pPr>
      <w:r>
        <w:rPr>
          <w:b/>
        </w:rPr>
        <w:t>USGS ShakeMap:</w:t>
      </w:r>
      <w:r>
        <w:rPr/>
        <w:t xml:space="preserve"> Sözleşmede tetikleme için USGS ShakeMap'lerinin kullanılacağı bilinmektedir. USGS her sözleşme hücresinin orta koordinatına en yakın kendi koordinatını esas almaktadır; koordinatlar birebir örtüşmemektedir.</w:t>
      </w:r>
    </w:p>
    <w:p>
      <w:pPr>
        <w:pStyle w:val="Heading1"/>
      </w:pPr>
      <w:r>
        <w:t>4. Senaryo Seçimi ve Modelleme Yöntemi</w:t>
      </w:r>
    </w:p>
    <w:p>
      <w:pPr>
        <w:jc w:val="both"/>
      </w:pPr>
      <w:r>
        <w:rPr/>
        <w:t>Deprem senaryoları sistematik bir yaklaşımla seçilmiştir:</w:t>
      </w:r>
    </w:p>
    <w:p>
      <w:pPr>
        <w:pStyle w:val="ListBullet"/>
      </w:pPr>
      <w:r>
        <w:rPr/>
        <w:t>Yerleşim bölgelerine yakın, orta büyüklükte ve son 3–5 yılda yaşanmış depremler (örnek: 23 Nisan 2025 Silivri açıkları depremi, yaklaşık 6 büyüklüğünde).</w:t>
      </w:r>
    </w:p>
    <w:p>
      <w:pPr>
        <w:pStyle w:val="ListBullet"/>
      </w:pPr>
      <w:r>
        <w:rPr/>
        <w:t>Yerleşim bölgelerine çok yakın büyük depremler (Kahramanmaraş depremleri).</w:t>
      </w:r>
    </w:p>
    <w:p>
      <w:pPr>
        <w:pStyle w:val="ListBullet"/>
      </w:pPr>
      <w:r>
        <w:rPr/>
        <w:t>Büyük metropollerden uzak büyük depremler (Samos–İzmir/Seferihisar depremi gibi).</w:t>
      </w:r>
    </w:p>
    <w:p>
      <w:pPr>
        <w:pStyle w:val="ListBullet"/>
      </w:pPr>
      <w:r>
        <w:rPr/>
        <w:t>Marmara Denizi'nde öngörülen dört senaryo.</w:t>
      </w:r>
    </w:p>
    <w:p>
      <w:pPr>
        <w:pStyle w:val="ListBullet"/>
      </w:pPr>
      <w:r>
        <w:rPr/>
        <w:t>Yer hareketi alanı, Türkre'nin kendi katastrofik risk modeliyle, daha önce kullanılan 5 km (kümülün sık olduğu bölgeler) ve 10 km (kümülün seyrek olduğu bölgeler) grid hücrelerinin merkezlerinde medyan PGA olarak hesaplanmıştır. Ardından payout yapısı çalıştırılmıştır.</w:t>
      </w:r>
    </w:p>
    <w:p>
      <w:pPr>
        <w:pStyle w:val="ListBullet"/>
      </w:pPr>
      <w:r>
        <w:rPr/>
        <w:t>Modelin yer hareketi tahmin denklemi USGS'ten farklı olduğundan sonuçlar USGS ShakeMap'leriyle birebir aynı çıkmayacaktır; RMS ve AIR modelleri de farklı sonuçlar verecektir. Bu doğal bir model farkı olarak değerlendirilmiştir. Yine de brüt kayıp karşılaştırmalarında büyüklük mertebesi olarak bir yakınlık görülmektedir.</w:t>
      </w:r>
    </w:p>
    <w:p>
      <w:pPr>
        <w:pStyle w:val="Heading1"/>
      </w:pPr>
      <w:r>
        <w:t>5. Senaryo Sonuçları</w:t>
      </w:r>
    </w:p>
    <w:p>
      <w:pPr>
        <w:pStyle w:val="ListBullet"/>
      </w:pPr>
      <w:r>
        <w:rPr>
          <w:b/>
        </w:rPr>
        <w:t>Kocaeli türü büyük deprem (İstanbul'a yakın):</w:t>
      </w:r>
      <w:r>
        <w:rPr/>
        <w:t xml:space="preserve"> Parametrik kapasiteyi tetiklemekte ve 500 milyonluk eşiğin de üzerine geçmektedir. Büyük bir depremde bu yapının çalışması mantıklı bulunmuştur.</w:t>
      </w:r>
    </w:p>
    <w:p>
      <w:pPr>
        <w:pStyle w:val="ListBullet"/>
      </w:pPr>
      <w:r>
        <w:rPr>
          <w:b/>
        </w:rPr>
        <w:t>Pazarcık (7,8):</w:t>
      </w:r>
      <w:r>
        <w:rPr/>
        <w:t xml:space="preserve"> Yerleşimlere çok yakın olmasına rağmen ilk 100 milyonluk dilimde kalmakta; kayıtta yaklaşık 72 milyonluk kısmın kullanıldığı ve 100 milyonu geçmediği belirtilmiştir.</w:t>
      </w:r>
    </w:p>
    <w:p>
      <w:pPr>
        <w:pStyle w:val="ListBullet"/>
      </w:pPr>
      <w:r>
        <w:rPr>
          <w:b/>
        </w:rPr>
        <w:t>Elbistan (tek başına):</w:t>
      </w:r>
      <w:r>
        <w:rPr/>
        <w:t xml:space="preserve"> Kümülün İstanbul'a kıyasla çok daha az olduğu bölgede kayıp 300 milyonun altında kalmakta, parametrik kapasite tetiklenmemektedir.</w:t>
      </w:r>
    </w:p>
    <w:p>
      <w:pPr>
        <w:pStyle w:val="ListBullet"/>
      </w:pPr>
      <w:r>
        <w:rPr>
          <w:b/>
        </w:rPr>
        <w:t>Pazarcık ve Elbistan:</w:t>
      </w:r>
      <w:r>
        <w:rPr/>
        <w:t xml:space="preserve"> Birbirini tetikleyen ardışık depremler olduklarından ayrı ayrı hesaplanıp toplanmaları yanlış bir yaklaşımdır; sunumda bu nedenle ayrı satır olarak gösterilmemiş, ancak ihmal edilmemiştir.</w:t>
      </w:r>
    </w:p>
    <w:p>
      <w:pPr>
        <w:pStyle w:val="ListBullet"/>
      </w:pPr>
      <w:r>
        <w:rPr>
          <w:b/>
        </w:rPr>
        <w:t>Marmara Denizi senaryoları:</w:t>
      </w:r>
      <w:r>
        <w:rPr/>
        <w:t xml:space="preserve"> Kümül çok büyük olsa da fay denizin içinde kırıldığında kıyı ile aralarında bir tampon mesafe bulunduğundan ek kapasite tetiklenmemektedir.</w:t>
      </w:r>
    </w:p>
    <w:p>
      <w:pPr>
        <w:pStyle w:val="ListBullet"/>
      </w:pPr>
      <w:r>
        <w:rPr/>
        <w:t>2020 tarihli yakın olmayan bir depremin (adı kayıtta net değil) hangi payout yapısıyla olursa olsun tetiklemeyeceği belirtilmiştir.</w:t>
      </w:r>
    </w:p>
    <w:p>
      <w:pPr>
        <w:jc w:val="both"/>
      </w:pPr>
      <w:r>
        <w:rPr>
          <w:b/>
        </w:rPr>
        <w:t>Ana çıkarım:</w:t>
      </w:r>
      <w:r>
        <w:rPr/>
        <w:t xml:space="preserve"> Fay kümüle çok yakından geçerse ciddi hasar oluşmakta ve parametrik kapasite tetiklenmektedir; aksi halde tetiklenmemektedir. Bu yüzden senaryo çalışması ve yer hareketi modeli seçimi belirleyicidir.</w:t>
      </w:r>
    </w:p>
    <w:p>
      <w:pPr>
        <w:pStyle w:val="Heading1"/>
      </w:pPr>
      <w:r>
        <w:t>6. Payout Yapısına İlişkin Değerlendirme</w:t>
      </w:r>
    </w:p>
    <w:p>
      <w:pPr>
        <w:pStyle w:val="ListBullet"/>
      </w:pPr>
      <w:r>
        <w:rPr/>
        <w:t>Payout yapısının daha gerçekçi tasarlanması gerektiği vurgulanmıştır.</w:t>
      </w:r>
    </w:p>
    <w:p>
      <w:pPr>
        <w:pStyle w:val="ListBullet"/>
      </w:pPr>
      <w:r>
        <w:rPr/>
        <w:t>Mevcut Munich Re ve ikinci taraf anlaşmalarında mühendislik yapıları ve konut yapıları için aynı payout yapısının kullanıldığı belirtilmiştir. Munich Re'nin ilgili departmanı bunu aynı şekilde ifade etmiş, buna rağmen payout yapılarında değişiklik yapmıştır.</w:t>
      </w:r>
    </w:p>
    <w:p>
      <w:pPr>
        <w:pStyle w:val="ListBullet"/>
      </w:pPr>
      <w:r>
        <w:rPr/>
        <w:t>Yenileme aşamasında bu hususa dikkat edilmesi, bu konunun grup içinde ek olarak çalışılması ve belirsizliklerin kaynağının paylaşılması önerilmiştir; yılbaşından sonra konuya girilip görüş alınacaktır.</w:t>
      </w:r>
    </w:p>
    <w:p>
      <w:pPr>
        <w:pStyle w:val="Heading1"/>
      </w:pPr>
      <w:r>
        <w:t>7. Müzakere ve Değerlendirmeler</w:t>
      </w:r>
    </w:p>
    <w:p>
      <w:pPr>
        <w:pStyle w:val="ListBullet"/>
      </w:pPr>
      <w:r>
        <w:rPr>
          <w:b/>
        </w:rPr>
        <w:t>Fiyat farkı:</w:t>
      </w:r>
      <w:r>
        <w:rPr/>
        <w:t xml:space="preserve"> İş yalnızca Munich Re'ye değil, Swiss Re'ye de verilmiş; Swiss Re yaklaşık iki katı fiyat vermiştir. Munich Re'nin bu kadar düşük fiyat vermesi şaşırtıcı bulunmuştur. Fiyatın modelden mi kaynaklandığı bilinmemektedir.</w:t>
      </w:r>
    </w:p>
    <w:p>
      <w:pPr>
        <w:pStyle w:val="ListBullet"/>
      </w:pPr>
      <w:r>
        <w:rPr/>
        <w:t>İki dilim alınmakta olup ikinci dilimde Liberty bulunmaktadır; alt dilime girmek istememiştir. Katılımcılar bunu bir çelişki olarak görmüştür.</w:t>
      </w:r>
    </w:p>
    <w:p>
      <w:pPr>
        <w:pStyle w:val="ListBullet"/>
      </w:pPr>
      <w:r>
        <w:rPr>
          <w:b/>
        </w:rPr>
        <w:t>Satın alma mantığı:</w:t>
      </w:r>
      <w:r>
        <w:rPr/>
        <w:t xml:space="preserve"> Büyük bir depremde (ör. İstanbul'u yerle bir eden bir deprem) ilk sorun geleneksel reasürans kapasitesinin yeterliliği, ikincisi ise paranın hızlı ulaşmasıdır. Parametrik ürün, hasar tespiti beklemeden nakit girişi sağladığı ve bankalardan likidite sağlamaktan daha ucuz bulunduğu için mantıklı görülmüştür.</w:t>
      </w:r>
    </w:p>
    <w:p>
      <w:pPr>
        <w:pStyle w:val="ListBullet"/>
      </w:pPr>
      <w:r>
        <w:rPr/>
        <w:t>SEDDK'ya, hasar halinde ödemelerin ve nakit akışının ne kadar zorlanacağı anlatılmış; parametrik ürünün nakit akışını hızlandırdığı savunulmuştur. Kayıtta %40 oranına ilişkin bir ifade geçmekte, ancak bağlamı net değildir.</w:t>
      </w:r>
    </w:p>
    <w:p>
      <w:pPr>
        <w:pStyle w:val="ListBullet"/>
      </w:pPr>
      <w:r>
        <w:rPr/>
        <w:t>Piyasanın parametrik için daha yüksek kapasite vermediği anlaşılmaktadır. Amaç hem ürünü denemek hem de büyük bir depremde ek nakit sağlamaktır.</w:t>
      </w:r>
    </w:p>
    <w:p>
      <w:pPr>
        <w:pStyle w:val="ListBullet"/>
      </w:pPr>
      <w:r>
        <w:rPr/>
        <w:t>Bu fiyat yapısına göre tetikleyici değerlerin mantıksız olabileceği yönündeki değerlendirme önemsenmiş; Munich Re'nin bu konuda ne diyeceği merak edilmektedir.</w:t>
      </w:r>
    </w:p>
    <w:p>
      <w:pPr>
        <w:pStyle w:val="Heading1"/>
      </w:pPr>
      <w:r>
        <w:t>8. Kararlar ve Aksiyon Maddeleri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3024"/>
        <w:gridCol w:w="3024"/>
        <w:gridCol w:w="3024"/>
      </w:tblGrid>
      <w:tr>
        <w:trPr>
          <w:tblHeader w:val="true"/>
        </w:trPr>
        <w:tc>
          <w:tcPr>
            <w:tcW w:type="dxa" w:w="567"/>
            <w:shd w:val="clear" w:color="auto" w:fill="1F3864"/>
          </w:tcPr>
          <w:p>
            <w:pPr>
              <w:spacing w:after="0" w:line="240" w:lineRule="auto"/>
            </w:pPr>
            <w:r/>
            <w:r>
              <w:rPr>
                <w:b/>
                <w:color w:val="FFFFFF"/>
                <w:sz w:val="19"/>
              </w:rPr>
              <w:t>#</w:t>
            </w:r>
          </w:p>
        </w:tc>
        <w:tc>
          <w:tcPr>
            <w:tcW w:type="dxa" w:w="5953"/>
            <w:shd w:val="clear" w:color="auto" w:fill="1F3864"/>
          </w:tcPr>
          <w:p>
            <w:pPr>
              <w:spacing w:after="0" w:line="240" w:lineRule="auto"/>
            </w:pPr>
            <w:r/>
            <w:r>
              <w:rPr>
                <w:b/>
                <w:color w:val="FFFFFF"/>
                <w:sz w:val="19"/>
              </w:rPr>
              <w:t>Aksiyon</w:t>
            </w:r>
          </w:p>
        </w:tc>
        <w:tc>
          <w:tcPr>
            <w:tcW w:type="dxa" w:w="2551"/>
            <w:shd w:val="clear" w:color="auto" w:fill="1F3864"/>
          </w:tcPr>
          <w:p>
            <w:pPr>
              <w:spacing w:after="0" w:line="240" w:lineRule="auto"/>
            </w:pPr>
            <w:r/>
            <w:r>
              <w:rPr>
                <w:b/>
                <w:color w:val="FFFFFF"/>
                <w:sz w:val="19"/>
              </w:rPr>
              <w:t>Sorumlu</w:t>
            </w:r>
          </w:p>
        </w:tc>
      </w:tr>
      <w:tr>
        <w:tc>
          <w:tcPr>
            <w:tcW w:type="dxa" w:w="567"/>
            <w:shd w:val="clear" w:color="auto" w:fill="F2F5FA"/>
          </w:tcPr>
          <w:p>
            <w:pPr>
              <w:spacing w:after="0" w:line="240" w:lineRule="auto"/>
            </w:pPr>
            <w:r/>
            <w:r>
              <w:rPr>
                <w:sz w:val="19"/>
              </w:rPr>
              <w:t>1</w:t>
            </w:r>
          </w:p>
        </w:tc>
        <w:tc>
          <w:tcPr>
            <w:tcW w:type="dxa" w:w="5953"/>
            <w:shd w:val="clear" w:color="auto" w:fill="F2F5FA"/>
          </w:tcPr>
          <w:p>
            <w:pPr>
              <w:spacing w:after="0" w:line="240" w:lineRule="auto"/>
            </w:pPr>
            <w:r/>
            <w:r>
              <w:rPr>
                <w:sz w:val="19"/>
              </w:rPr>
              <w:t>Saat 11:00 civarındaki Munich Re toplantısında sunum yapılmayacak; Munich Re anlatacak, Türkre soruları soracak. Munich Re'nin deprem uzmanlarının da katılması beklenmektedir.</w:t>
            </w:r>
          </w:p>
        </w:tc>
        <w:tc>
          <w:tcPr>
            <w:tcW w:type="dxa" w:w="2551"/>
            <w:shd w:val="clear" w:color="auto" w:fill="F2F5FA"/>
          </w:tcPr>
          <w:p>
            <w:pPr>
              <w:spacing w:after="0" w:line="240" w:lineRule="auto"/>
            </w:pPr>
            <w:r/>
            <w:r>
              <w:rPr>
                <w:sz w:val="19"/>
              </w:rPr>
              <w:t>Türkre ekibi</w:t>
            </w:r>
          </w:p>
        </w:tc>
      </w:tr>
      <w:tr>
        <w:tc>
          <w:tcPr>
            <w:tcW w:type="dxa" w:w="567"/>
            <w:shd w:val="clear" w:color="auto" w:fill="F2F5FA"/>
          </w:tcPr>
          <w:p>
            <w:pPr>
              <w:spacing w:after="0" w:line="240" w:lineRule="auto"/>
            </w:pPr>
            <w:r/>
            <w:r>
              <w:rPr>
                <w:sz w:val="19"/>
              </w:rPr>
              <w:t>2</w:t>
            </w:r>
          </w:p>
        </w:tc>
        <w:tc>
          <w:tcPr>
            <w:tcW w:type="dxa" w:w="5953"/>
            <w:shd w:val="clear" w:color="auto" w:fill="F2F5FA"/>
          </w:tcPr>
          <w:p>
            <w:pPr>
              <w:spacing w:after="0" w:line="240" w:lineRule="auto"/>
            </w:pPr>
            <w:r/>
            <w:r>
              <w:rPr>
                <w:sz w:val="19"/>
              </w:rPr>
              <w:t>Toplantı sonrası bir araya gelinip müzakere edilecek; Pazartesi (26 Ekim 2026) toplanma ihtimali dile getirilmiştir.</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3</w:t>
            </w:r>
          </w:p>
        </w:tc>
        <w:tc>
          <w:tcPr>
            <w:tcW w:type="dxa" w:w="5953"/>
            <w:shd w:val="clear" w:color="auto" w:fill="F2F5FA"/>
          </w:tcPr>
          <w:p>
            <w:pPr>
              <w:spacing w:after="0" w:line="240" w:lineRule="auto"/>
            </w:pPr>
            <w:r/>
            <w:r>
              <w:rPr>
                <w:sz w:val="19"/>
              </w:rPr>
              <w:t>Payout yapısının uygun olup olmadığına dair bir karar verilip karşı tarafa yazılı bir metin gönderilecek (Özgür Bey'in talimatı olarak aktarılmıştır).</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4</w:t>
            </w:r>
          </w:p>
        </w:tc>
        <w:tc>
          <w:tcPr>
            <w:tcW w:type="dxa" w:w="5953"/>
            <w:shd w:val="clear" w:color="auto" w:fill="F2F5FA"/>
          </w:tcPr>
          <w:p>
            <w:pPr>
              <w:spacing w:after="0" w:line="240" w:lineRule="auto"/>
            </w:pPr>
            <w:r/>
            <w:r>
              <w:rPr>
                <w:sz w:val="19"/>
              </w:rPr>
              <w:t>Bugün ya da Pazartesi içinde SEDDK'ya ürünün alınıp alınmayacağına ve çalışıp çalışmayacağına dair bir değerlendirme yazılacak.</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5</w:t>
            </w:r>
          </w:p>
        </w:tc>
        <w:tc>
          <w:tcPr>
            <w:tcW w:type="dxa" w:w="5953"/>
            <w:shd w:val="clear" w:color="auto" w:fill="F2F5FA"/>
          </w:tcPr>
          <w:p>
            <w:pPr>
              <w:spacing w:after="0" w:line="240" w:lineRule="auto"/>
            </w:pPr>
            <w:r/>
            <w:r>
              <w:rPr>
                <w:sz w:val="19"/>
              </w:rPr>
              <w:t>Yılbaşından sonra payout yapısı ve belirsizlik kaynakları grup içinde ek olarak çalışılacak.</w:t>
            </w:r>
          </w:p>
        </w:tc>
        <w:tc>
          <w:tcPr>
            <w:tcW w:type="dxa" w:w="2551"/>
            <w:shd w:val="clear" w:color="auto" w:fill="F2F5FA"/>
          </w:tcPr>
          <w:p>
            <w:pPr>
              <w:spacing w:after="0" w:line="240" w:lineRule="auto"/>
            </w:pPr>
            <w:r/>
            <w:r>
              <w:rPr>
                <w:sz w:val="19"/>
              </w:rPr>
              <w:t>Belirtilmedi</w:t>
            </w:r>
          </w:p>
        </w:tc>
      </w:tr>
      <w:tr>
        <w:tc>
          <w:tcPr>
            <w:tcW w:type="dxa" w:w="567"/>
            <w:shd w:val="clear" w:color="auto" w:fill="F2F5FA"/>
          </w:tcPr>
          <w:p>
            <w:pPr>
              <w:spacing w:after="0" w:line="240" w:lineRule="auto"/>
            </w:pPr>
            <w:r/>
            <w:r>
              <w:rPr>
                <w:sz w:val="19"/>
              </w:rPr>
              <w:t>6</w:t>
            </w:r>
          </w:p>
        </w:tc>
        <w:tc>
          <w:tcPr>
            <w:tcW w:type="dxa" w:w="5953"/>
            <w:shd w:val="clear" w:color="auto" w:fill="F2F5FA"/>
          </w:tcPr>
          <w:p>
            <w:pPr>
              <w:spacing w:after="0" w:line="240" w:lineRule="auto"/>
            </w:pPr>
            <w:r/>
            <w:r>
              <w:rPr>
                <w:sz w:val="19"/>
              </w:rPr>
              <w:t>Özgür Bey onay verdikten sonra gelecek yıl katastrofik tahvil çalışması yapılacak.</w:t>
            </w:r>
          </w:p>
        </w:tc>
        <w:tc>
          <w:tcPr>
            <w:tcW w:type="dxa" w:w="2551"/>
            <w:shd w:val="clear" w:color="auto" w:fill="F2F5FA"/>
          </w:tcPr>
          <w:p>
            <w:pPr>
              <w:spacing w:after="0" w:line="240" w:lineRule="auto"/>
            </w:pPr>
            <w:r/>
            <w:r>
              <w:rPr>
                <w:sz w:val="19"/>
              </w:rPr>
              <w:t>Belirtilmedi</w:t>
            </w:r>
          </w:p>
        </w:tc>
      </w:tr>
    </w:tbl>
    <w:p>
      <w:pPr>
        <w:spacing w:after="40"/>
      </w:pPr>
    </w:p>
    <w:p>
      <w:pPr>
        <w:spacing w:before="240"/>
      </w:pPr>
      <w:r>
        <w:rPr>
          <w:i/>
          <w:color w:val="808080"/>
          <w:sz w:val="18"/>
        </w:rPr>
        <w:t>Not: Bu rapor, toplantı ses kaydının dökümünden düzenlenmiştir. Döküm yer yer anlaşılmaz olduğundan bazı cümleler bağlamdan yorumlanmıştır. Aşağıdaki ifadeler düzeltilmiştir: "peyat/pya/OPR" → payout, "CDLK/CDDK/Sddk" → SEDDK, "Sivizri" → Swiss Re, "Munihliği" → Munich Re, "şekmep" → ShakeMap, "Cat Bonk" → cat bond, "Gran Motion" → yer hareketi (ground motion), "aramesi/eyer" → RMS/AIR (varsayım). "Sinan Hoca" ve "Sinan'ın" aynı kişi olarak varsayılmıştır. Rakamlar (300/400/500 milyon, 0,35 g, 72 milyon) dökümden alınmıştır ve para birimi kayıtta belirtilmemiştir. Toplantı tarihi dosya adından (23 Ekim 2026)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Parametrik Teminat Ön Konuşma — Toplantı Raporu</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Toplantı Raporu</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