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center"/>
      </w:pPr>
      <w:r>
        <w:rPr>
          <w:rFonts w:ascii="Calibri" w:hAnsi="Calibri" w:eastAsia="Calibri" w:cs="Calibri"/>
          <w:b/>
          <w:color w:val="1F3864"/>
          <w:sz w:val="38"/>
        </w:rPr>
        <w:t>Tefsir Dersi Raporu</w:t>
      </w:r>
    </w:p>
    <w:p>
      <w:pPr>
        <w:spacing w:after="40"/>
        <w:jc w:val="center"/>
      </w:pPr>
      <w:r>
        <w:rPr>
          <w:color w:val="2E5496"/>
          <w:sz w:val="25"/>
        </w:rPr>
        <w:t>Bakara Sûresi, 72–74. Âyetler — Kıssanın Tamamlanması ve Kalplerin Katılaşması</w:t>
      </w:r>
    </w:p>
    <w:p>
      <w:pPr>
        <w:spacing w:after="240"/>
        <w:jc w:val="center"/>
        <w:pBdr>
          <w:bottom w:val="single" w:sz="6" w:space="6" w:color="C9A227"/>
        </w:pBdr>
      </w:pPr>
      <w:r>
        <w:rPr>
          <w:color w:val="808080"/>
          <w:sz w:val="18"/>
        </w:rPr>
        <w:t>Ders tarihi: 10 Temmuz 2026  •  Ders içi değerlendirmelerle birlikte</w:t>
      </w:r>
    </w:p>
    <w:p>
      <w:pPr>
        <w:jc w:val="both"/>
      </w:pPr>
      <w:r>
        <w:rPr/>
        <w:t>Bu rapor, Bakara sûresinin 72–74. âyetleri üzerine yapılan tefsir dersinin düzenlenmiş bir özetidir. Ders, önceki hafta işlenen sığır (inek) kıssasının cinayet boyutunu tamamlar; ardından âyetlerdeki “diriltme” fiilinin süreklilik anlamı, “akıl” kavramı ile duyguların ilişkisi, kalplerin katılaşması ve Kur'an'ın bu katılaşma için zikrettiği sebepler ele alınır. Ders sırasında katılımcılardan gelen değerlendirmeler de kısaca yer almaktadır.</w:t>
      </w:r>
    </w:p>
    <w:p>
      <w:pPr>
        <w:pStyle w:val="Heading1"/>
      </w:pPr>
      <w:r>
        <w:t>1. Âyetlerin Özet Meâli</w:t>
      </w:r>
    </w:p>
    <w:p>
      <w:pPr>
        <w:pStyle w:val="ListBullet"/>
      </w:pPr>
      <w:r>
        <w:rPr/>
        <w:t>72. âyet: Bir kişiyi öldürüp onun hakkında birbirinizi suçladığınız, Allah'ın ise gizlediklerinizi açığa çıkaracağı hatırlatılır.</w:t>
      </w:r>
    </w:p>
    <w:p>
      <w:pPr>
        <w:pStyle w:val="ListBullet"/>
      </w:pPr>
      <w:r>
        <w:rPr/>
        <w:t>73. âyet: Kesilen sığırın bir parçasıyla ölüye vurulması söylenir; Allah ölüleri böyle diriltir ve âyetlerini gösterir, belki akledersiniz.</w:t>
      </w:r>
    </w:p>
    <w:p>
      <w:pPr>
        <w:pStyle w:val="ListBullet"/>
      </w:pPr>
      <w:r>
        <w:rPr/>
        <w:t>74. âyet: Bütün bunlardan sonra kalplerin taş gibi, hatta daha katı hâle geldiği; taşlardan ırmakların fışkırdığı, çatlayıp su verenlerin ve Allah korkusuyla yuvarlananların bulunduğu; Allah'ın yapılanlardan habersiz olmadığı bildirilir.</w:t>
      </w:r>
    </w:p>
    <w:p>
      <w:pPr>
        <w:pStyle w:val="Heading1"/>
      </w:pPr>
      <w:r>
        <w:t>2. Kıssanın Tamamlanması: Cinayetin Çözümü (72–73)</w:t>
      </w:r>
    </w:p>
    <w:p>
      <w:pPr>
        <w:jc w:val="both"/>
      </w:pPr>
      <w:r>
        <w:rPr/>
        <w:t>Önceki haftaya bağlanarak, olayın mantıkî sıralamada en başta gelmesi gereken kısmının en sonda anlatılmasının, asıl vurgunun olayın kendisinden çok İsrâiloğulları'nın tavrında olduğuna işaret ettiği hatırlatıldı. Kur'an olayın tarihî ayrıntısına girmez; anlatılan, bu olay karşısındaki tutumdur.</w:t>
      </w:r>
    </w:p>
    <w:p>
      <w:pPr>
        <w:pStyle w:val="ListBullet"/>
      </w:pPr>
      <w:r>
        <w:rPr/>
        <w:t>72. âyetteki “fe'ddâraʾtum” ifadesi, tarafların birbirini suçlaması şeklinde açıklandı. Rivayetlere göre öldüren taraf cesedi başka bir kabilenin yaşadığı yere bırakmış, sabah cesedi bulan kabile suçlanmış, taraflar birbirini itham etmiş ve mesele silahlı bir iç çatışmaya varacak noktaya gelmiştir.</w:t>
      </w:r>
    </w:p>
    <w:p>
      <w:pPr>
        <w:pStyle w:val="ListBullet"/>
      </w:pPr>
      <w:r>
        <w:rPr/>
        <w:t>Çözüm için aralarında yaşayan Hz. Mûsâ'ya başvurulmuş, o da vahiyle bir sığır kesmelerini bildirmiştir.</w:t>
      </w:r>
    </w:p>
    <w:p>
      <w:pPr>
        <w:pStyle w:val="ListBullet"/>
      </w:pPr>
      <w:r>
        <w:rPr/>
        <w:t>Geçen hafta konuşulan altın buzağı bağlantısı yeniden anıldı: Sığırın renginin sarı olmaması, içlerindeki buzağı sevgisini ve Allah'tan başkasına tapma alışkanlığını köreltmeye yönelik bir imtihan olabilir.</w:t>
      </w:r>
    </w:p>
    <w:p>
      <w:pPr>
        <w:pStyle w:val="Heading1"/>
      </w:pPr>
      <w:r>
        <w:t>3. “Diriltme” Fiilinin Süreklilik Anlamı</w:t>
      </w:r>
    </w:p>
    <w:p>
      <w:pPr>
        <w:jc w:val="both"/>
      </w:pPr>
      <w:r>
        <w:rPr/>
        <w:t>İlk derslerde işlenen bir ilkeye dönülerek, Arapça'da bir ifadenin isim ya da fiil formunda gelmesinin anlamı belirlediği hatırlatıldı. “Yuhyî” (diriltir) fiil formunda geldiği için yalnız o an orada bulunanlara gösterilen bir mûcizeyle sınırlı anlaşılmamalıdır; geniş zamanı ve bugünü de kapsar. Diriltmek, Allah'ın zamana ve mekâna bağlı olmayan bir vasfıdır; aynı kudret âhirette de görülecektir.</w:t>
      </w:r>
    </w:p>
    <w:p>
      <w:pPr>
        <w:jc w:val="both"/>
      </w:pPr>
      <w:r>
        <w:rPr/>
        <w:t>Benzer şekilde “yürîkum” (size gösterir) ifadesi de, selim bir kalple bakabilene her zaman diliminde âyet ve delillerin gösterilebileceğine işaret eder.</w:t>
      </w:r>
    </w:p>
    <w:p>
      <w:pPr>
        <w:pStyle w:val="Heading1"/>
      </w:pPr>
      <w:r>
        <w:t>4. “Akıl” Kavramı ve Duyguların Kontrolü</w:t>
      </w:r>
    </w:p>
    <w:p>
      <w:pPr>
        <w:jc w:val="both"/>
      </w:pPr>
      <w:r>
        <w:rPr/>
        <w:t>Âyet sonundaki “lealleküm ta'kılûn” (akledesiniz diye) ifadesi vesilesiyle “akıl” kavramı işlendi. Kelimenin kökünde “bağlamak” anlamı vardır; bir hayvanı yerinde tutmak için kullanılan bağ da bu kökten bir kelimeyle anılır. Buradan hareketle akıl, sevgi ve nefret gibi duyguları dengede tutan ve sağlıklı değerlendirmeyi mümkün kılan temel melekedir.</w:t>
      </w:r>
    </w:p>
    <w:p>
      <w:pPr>
        <w:pStyle w:val="ListBullet"/>
      </w:pPr>
      <w:r>
        <w:rPr/>
        <w:t>Bir kimseden nefret eden onun hakkında sağlıklı hüküm veremez; aşırı seven de gerekenden fazla sevdiği için sağlıklı değerlendirme yapamaz, hatta yanlışını kendince makul gerekçelerle savunur hâle gelir.</w:t>
      </w:r>
    </w:p>
    <w:p>
      <w:pPr>
        <w:pStyle w:val="ListBullet"/>
      </w:pPr>
      <w:r>
        <w:rPr/>
        <w:t>İsrâiloğulları'nın tavrı bu çerçevede değerlendirildi: asabiyet/kabilecilik duygusu ve Hz. Peygamber'in İsmâiloğulları'ndan gelmesine duyulan nefret, olayı sağlıklı değerlendirmelerinin önünde engel olmuştur.</w:t>
      </w:r>
    </w:p>
    <w:p>
      <w:pPr>
        <w:pStyle w:val="ListBullet"/>
      </w:pPr>
      <w:r>
        <w:rPr/>
        <w:t>Kalplerin mühürlenmesi ile sağlıklı düşünememe arasında bir bağ bulunabileceği; sağlıklı düşünceye ulaşmak için önce kalbin temizlenmesi ve duyguların makul seviyede yaşanması gerektiği vurgulandı.</w:t>
      </w:r>
    </w:p>
    <w:p>
      <w:pPr>
        <w:pStyle w:val="ListBullet"/>
      </w:pPr>
      <w:r>
        <w:rPr/>
        <w:t>Ders sırasında bu durum, güncel örneklerle (asabiyet duygusuyla hareket eden kişilerin sözleri, Gazze'deki soykırım ve bunun karşısında yapılan açıklamalar) ilişkilendirildi; gündelik hayattaki sorunların bir kısmının da duyguları akılla kontrol edememekten kaynaklanabileceği söylendi.</w:t>
      </w:r>
    </w:p>
    <w:p>
      <w:pPr>
        <w:pStyle w:val="Heading1"/>
      </w:pPr>
      <w:r>
        <w:t>5. Kalplerin Katılaşması ve Üç Taş Benzetmesi (74)</w:t>
      </w:r>
    </w:p>
    <w:p>
      <w:pPr>
        <w:jc w:val="both"/>
      </w:pPr>
      <w:r>
        <w:rPr/>
        <w:t>Kalbin sertleşmesi; bir çocuğun öldürülmesi, bir ailenin yok edilmesi gibi olaylar karşısında bile hiçbir şey hissetmeyecek, nasihate kapalı bir hâle gelmek olarak açıklandı. Âyet, taşın bile bir “onuru” olduğunu ima eder: taştan su fışkırır, taş çatlar, taş Allah korkusuyla yuvarlanır; oysa katılaşmış kalp bunların hiçbirini yapmaz. Kur'an'da bu tür taş ve dağ benzetmelerine başka yerlerde de rastlanır.</w:t>
      </w:r>
    </w:p>
    <w:p>
      <w:pPr>
        <w:jc w:val="both"/>
      </w:pPr>
      <w:r>
        <w:rPr/>
        <w:t>Âyetteki üç taş türü, üç insan/iman tipine benzetilerek yorumlandı (bunların bir yorum olduğu özellikle belirtildi):</w:t>
      </w:r>
    </w:p>
    <w:p>
      <w:pPr>
        <w:pStyle w:val="ListBullet"/>
      </w:pPr>
      <w:r>
        <w:rPr>
          <w:b/>
        </w:rPr>
        <w:t xml:space="preserve">İçinden ırmaklar fışkıran taş: </w:t>
      </w:r>
      <w:r>
        <w:rPr/>
        <w:t>Hazır olan insan. İçinde zaten iyilik, vicdan ve merhamet vardır; bir el dokunması yeter. Cahiliye döneminde de iyi olan, İslâm ile bunu pekiştiren kişilere (ör. Hz. Ebû Bekir) benzetildi.</w:t>
      </w:r>
    </w:p>
    <w:p>
      <w:pPr>
        <w:pStyle w:val="ListBullet"/>
      </w:pPr>
      <w:r>
        <w:rPr>
          <w:b/>
        </w:rPr>
        <w:t xml:space="preserve">Çatlayıp su veren taş: </w:t>
      </w:r>
      <w:r>
        <w:rPr/>
        <w:t>Cevherinin ortaya çıkması için sarsılması, sert bir olayla karşılaşması gereken insan. Hz. Ömer'in kız kardeşinin evinde karşılaştığı olay, siyer kaynaklarında okunduğu kadarıyla örnek olarak verildi; Hz. Hamza da anıldı.</w:t>
      </w:r>
    </w:p>
    <w:p>
      <w:pPr>
        <w:pStyle w:val="ListBullet"/>
      </w:pPr>
      <w:r>
        <w:rPr>
          <w:b/>
        </w:rPr>
        <w:t xml:space="preserve">Allah korkusuyla yuvarlanan taş: </w:t>
      </w:r>
      <w:r>
        <w:rPr/>
        <w:t>İçinden henüz su fışkırmayan ama saygısını koruyup hareket hâlinde kalan insan. Namazını kılan, Kur'an okuyan, fakat aradığı huzuru tam bulamayan; yine de kulluk bilinciyle devam eden kişiye benzetildi. Bugün çoğumuzun bu üçüncü tipe dahil olabileceği, bunun bir ümit mesajı taşıdığı ifade edildi.</w:t>
      </w:r>
    </w:p>
    <w:p>
      <w:pPr>
        <w:jc w:val="both"/>
      </w:pPr>
      <w:r>
        <w:rPr/>
        <w:t>Bir katılımcı, bir tefsirde okuduğu başka bir yorumu paylaştı: Bu yoruma göre âyet, taşın bile bir şerefi bulunduğunu, kalplerin ise taşın bu hâllerinden bile yoksun olduğunu anlatmaktadır.</w:t>
      </w:r>
    </w:p>
    <w:p>
      <w:pPr>
        <w:pStyle w:val="Heading1"/>
      </w:pPr>
      <w:r>
        <w:t>6. Kur'an'da Kalbin Katılaşmasının Sebepleri</w:t>
      </w:r>
    </w:p>
    <w:p>
      <w:pPr>
        <w:jc w:val="both"/>
      </w:pPr>
      <w:r>
        <w:rPr/>
        <w:t>Ders sırasında kalbin katılaşmasının Kur'an'da zikredilen sebeplerinden yaklaşık beş-altı tanesinin örneklerle sıralanacağı belirtildi. Anlatıcı, Filistin'de yaşananlara karşı eskisi kadar duyarlı olmadığını ve üniversiteye ilk geldiği günlerdeki heyecanını yitirdiğini hissettiğini, bunun kendi kalbindeki katılaşmanın bir işareti olabileceğini dile getirdi.</w:t>
      </w:r>
    </w:p>
    <w:p>
      <w:pPr>
        <w:pStyle w:val="Heading2"/>
      </w:pPr>
      <w:r>
        <w:t>a) Musibetlerden ibret almamak</w:t>
      </w:r>
    </w:p>
    <w:p>
      <w:pPr>
        <w:jc w:val="both"/>
      </w:pPr>
      <w:r>
        <w:rPr/>
        <w:t>En'âm sûresi 42–43. âyetler örnek verildi: Allah, inkârlarından dönsünler diye önceki ümmetleri sıkıntılarla imtihan etmiş; fakat onlar boyun eğeceklerine inatlarını artırmış, kalpleri katılaşmış, şeytan da yaptıklarını onlara süslü göstermiştir.</w:t>
      </w:r>
    </w:p>
    <w:p>
      <w:pPr>
        <w:jc w:val="both"/>
      </w:pPr>
      <w:r>
        <w:rPr/>
        <w:t>Buradan müminin musibet karşısındaki tavrının kıymeti çıkarıldı. Hz. Peygamber'in, müminin her hâlinin hayırlı olduğunu (nimette şükür, musibette sabır) bildiren hadisi hatırlatıldı; Gazze sürecinde oğlunun şehadet haberini alan İsmail Heniyye'nin tavrı da bu tutuma örnek olarak anıldı. Başına bir musibet, özellikle bir ölüm geldiğinde kalbi kıpırdamayan kişinin kalbinin katılaşmış olabileceği; ölümün günümüzde kolay ve komik bir şeymiş gibi ele alındığı belirtildi.</w:t>
      </w:r>
    </w:p>
    <w:p>
      <w:pPr>
        <w:pStyle w:val="Heading2"/>
      </w:pPr>
      <w:r>
        <w:t>b) Sözünde durmamak</w:t>
      </w:r>
    </w:p>
    <w:p>
      <w:pPr>
        <w:jc w:val="both"/>
      </w:pPr>
      <w:r>
        <w:rPr/>
        <w:t>Mâide sûresi 13. âyet okundu: İsrâiloğulları verdikleri sözden dönmeleri yüzünden lanetlenmiş ve kalpleri katılaştırılmış, ayrıca Tevrat'ın kelimelerini yerlerinden oynatıp değiştirmişlerdir. Verdiği sözü yerine getirmeyen ve bunu umursamayan kimsenin kalbinin katılaşıyor olabileceği söylendi.</w:t>
      </w:r>
    </w:p>
    <w:p>
      <w:pPr>
        <w:jc w:val="both"/>
      </w:pPr>
      <w:r>
        <w:rPr/>
        <w:t>Katılımcılar arasında bu sözün kime verildiği tartışıldı; âyette esas kastedilenin Allah'a verilen söz olması muhtemel görülmekle birlikte, insanlara verilen sözün tutulmaması da ortak bir zeminde değerlendirildi. Bunun kesin bir hüküm değil, bir yorum olduğu vurgulandı.</w:t>
      </w:r>
    </w:p>
    <w:p>
      <w:pPr>
        <w:pStyle w:val="Heading2"/>
      </w:pPr>
      <w:r>
        <w:t>c) Dinî değerleri hafife almak ve zamanla hassasiyetin azalması</w:t>
      </w:r>
    </w:p>
    <w:p>
      <w:pPr>
        <w:jc w:val="both"/>
      </w:pPr>
      <w:r>
        <w:rPr/>
        <w:t>Hadîd sûresi 16. âyet okundu: Müminlerin kalplerinin Allah'ı anmaya ve inen hakka karşı saygıyla yumuşama vaktinin gelmediği mi; daha önce kitap verilenler gibi olmamaları, çünkü onların üzerinden uzun zaman geçince kalplerinin katılaştığı bildirilir. Bu, din geldikten sonra zaman geçtikçe ilk samimiyet ve hassasiyetin yitirilmesi, helâl-haram sınırlarının ciddiye alınmamaya başlanması olarak yorumlandı.</w:t>
      </w:r>
    </w:p>
    <w:p>
      <w:pPr>
        <w:jc w:val="both"/>
      </w:pPr>
      <w:r>
        <w:rPr/>
        <w:t>Ahlâkî ya da dinî bir değer benimsendiyse, başından sonuna aynı ciddiyetin sürdürülmesi gerektiği; verilen küçük tavizlerin sınırları zamanla genişlettiği ve sonunda kalbin katılaştığının fark edilemez olduğu belirtildi.</w:t>
      </w:r>
    </w:p>
    <w:p>
      <w:pPr>
        <w:pStyle w:val="Heading2"/>
      </w:pPr>
      <w:r>
        <w:t>d) Nefsi zorlamamak</w:t>
      </w:r>
    </w:p>
    <w:p>
      <w:pPr>
        <w:jc w:val="both"/>
      </w:pPr>
      <w:r>
        <w:rPr/>
        <w:t>İnsanın nefsini ara ara zorlaması gerektiği; hoşuna gitmeyen ama yapılması gereken işin üzerine gitmenin önemi vurgulandı. Örnek olarak, bir hata veya günah karşısında kibrin ilk adımı atmaya engel olması ve namaz vakti çıkmak üzereyken hiç isteksiz olsa da namazı nefsini zorlayarak kılmanın kılmamaktan daha hayırlı olduğu verildi.</w:t>
      </w:r>
    </w:p>
    <w:p>
      <w:pPr>
        <w:pStyle w:val="Heading2"/>
      </w:pPr>
      <w:r>
        <w:t>e) Allah'ı anmadan çok ve boş konuşmak</w:t>
      </w:r>
    </w:p>
    <w:p>
      <w:pPr>
        <w:jc w:val="both"/>
      </w:pPr>
      <w:r>
        <w:rPr/>
        <w:t>Son olarak, Allah'ı anmadan çok konuşmanın ve dünyaya da âhirete de dokunmayan boş konuşmanın kalbi katılaştırabileceği söylendi. Kayıt, bu başlığın anlatımının başında sona ermektedir.</w:t>
      </w:r>
    </w:p>
    <w:p>
      <w:pPr>
        <w:pStyle w:val="Heading1"/>
      </w:pPr>
      <w:r>
        <w:t>7. Değerlendirme: Cuma Hutbesinde Âyetin Kullanımı</w:t>
      </w:r>
    </w:p>
    <w:p>
      <w:pPr>
        <w:jc w:val="both"/>
      </w:pPr>
      <w:r>
        <w:rPr/>
        <w:t>Sözünde durmamak başlığı sırasında, bir katılımcı o gün dinlediği cuma hutbesinde “biz ıslah ediciyiz” ifadesinin geçtiği bir âyetin (Bakara sûresinde geçtiği düşünülen âyet) bağlamından koparılarak kullanıldığı kanaatini paylaştı. Görüşün ana hatları şöyleydi:</w:t>
      </w:r>
    </w:p>
    <w:p>
      <w:pPr>
        <w:pStyle w:val="ListBullet"/>
      </w:pPr>
      <w:r>
        <w:rPr/>
        <w:t>Âyetin muhatabı Yahudi toplulukları olduğundan, bu tür bir kullanımın aynı âyetin kullanan kişi aleyhine de çevrilebileceği ve hutbede siyasi çıkarların dinî dille meşrulaştırılmasının sorun olması gerektiği ifade edildi.</w:t>
      </w:r>
    </w:p>
    <w:p>
      <w:pPr>
        <w:pStyle w:val="ListBullet"/>
      </w:pPr>
      <w:r>
        <w:rPr/>
        <w:t>Aynı katılımcı, farklı düşünülebileceğini ve bu uygulamanın uzun süredir sürdüğünü de belirtti. Bu konuda ders içinde bir sonraki âyet vesilesiyle yeniden konuşulacağı not edildi.</w:t>
      </w:r>
    </w:p>
    <w:p>
      <w:pPr>
        <w:pStyle w:val="Heading1"/>
      </w:pPr>
      <w:r>
        <w:t>8. Ana Çıkarımlar</w:t>
      </w:r>
    </w:p>
    <w:p>
      <w:pPr>
        <w:pStyle w:val="ListBullet"/>
      </w:pPr>
      <w:r>
        <w:rPr/>
        <w:t>Kıssada asıl vurgu olayın kendisinden çok, olay karşısındaki tutum ve duyguların aklı bağlayıp bağlamadığıdır.</w:t>
      </w:r>
    </w:p>
    <w:p>
      <w:pPr>
        <w:pStyle w:val="ListBullet"/>
      </w:pPr>
      <w:r>
        <w:rPr/>
        <w:t>“Yuhyî” ve “yürîkum” gibi fiil formları, Allah'ın diriltme ve gösterme vasıflarının zamanla sınırlı olmadığını gösterir.</w:t>
      </w:r>
    </w:p>
    <w:p>
      <w:pPr>
        <w:pStyle w:val="ListBullet"/>
      </w:pPr>
      <w:r>
        <w:rPr/>
        <w:t>Akıl, duyguları dengede tutan bir bağdır; aşırı sevgi de aşırı nefret de sağlıklı değerlendirmenin önüne geçer.</w:t>
      </w:r>
    </w:p>
    <w:p>
      <w:pPr>
        <w:pStyle w:val="ListBullet"/>
      </w:pPr>
      <w:r>
        <w:rPr/>
        <w:t>74. âyetteki üç taş, üç insan tipi olarak yorumlanabilir; üçüncü tip için âyet ümit ve devam etme çağrısı taşır.</w:t>
      </w:r>
    </w:p>
    <w:p>
      <w:pPr>
        <w:pStyle w:val="ListBullet"/>
      </w:pPr>
      <w:r>
        <w:rPr/>
        <w:t>Kalbin katılaşmasının sebepleri arasında ibret almamak, sözünde durmamak, dinî değerleri hafife almak, nefsi hiç zorlamamak ve boş konuşmak sayıldı.</w:t>
      </w:r>
    </w:p>
    <w:p>
      <w:pPr>
        <w:spacing w:before="240"/>
      </w:pPr>
      <w:r>
        <w:rPr>
          <w:i/>
          <w:color w:val="808080"/>
          <w:sz w:val="18"/>
        </w:rPr>
        <w:t>Not: Bu rapor, ders kaydının dökümünden hareketle düzenlenmiş bir özettir. Tefsirî değerlendirmeler ve ders içi görüşler, derste dile getirilen değerlendirmeleri yansıtır. Döküm makine çıktısı olduğundan Arapça ifadeler, âyet numaraları ve bazı isimler bağlamdan düzeltilmiştir (ör. “İsmail Henüyer” → İsmail Heniyye; “İsrail Oğulları”, “Fethi Dağı” → “fe'ddâraʾtum”). Kayıt, kalbin katılaşma sebeplerinden sonuncusunun anlatımı sırasında sona ermektedir. Ders tarihi dosya adından alınmıştır (10 Temmuz 2026).</w:t>
      </w:r>
    </w:p>
    <w:sectPr w:rsidR="00FC693F" w:rsidRPr="0006063C" w:rsidSect="00034616">
      <w:footerReference w:type="default" r:id="rId9"/>
      <w:pgSz w:w="11906" w:h="16838"/>
      <w:pgMar w:top="1417" w:right="1417" w:bottom="1417" w:left="1417" w:header="720" w:footer="68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6" w:color="C9A227"/>
      </w:pBdr>
      <w:tabs>
        <w:tab w:pos="9071" w:val="right"/>
      </w:tabs>
    </w:pPr>
    <w:r/>
    <w:r>
      <w:rPr>
        <w:color w:val="808080"/>
        <w:sz w:val="16"/>
      </w:rPr>
      <w:t>Tefsir Dersi Raporu — Bakara 72–74</w:t>
    </w:r>
    <w:r>
      <w:rPr>
        <w:color w:val="808080"/>
        <w:sz w:val="16"/>
      </w:rPr>
      <w:tab/>
      <w:t xml:space="preserve">Sayfa </w:t>
    </w:r>
    <w:r>
      <w:rPr>
        <w:color w:val="808080"/>
        <w:sz w:val="16"/>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eastAsia="Calibri" w:cs="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30"/>
      <w:outlineLvl w:val="0"/>
      <w:pBdr>
        <w:bottom w:val="single" w:sz="6" w:space="4" w:color="C9A227"/>
      </w:pBdr>
    </w:pPr>
    <w:rPr>
      <w:rFonts w:ascii="Calibri" w:hAnsi="Calibri" w:eastAsia="Calibri" w:cs="Calibri"/>
      <w:b/>
      <w:bCs/>
      <w:i w:val="0"/>
      <w:color w:val="1F3864"/>
      <w:sz w:val="27"/>
      <w:szCs w:val="28"/>
    </w:rPr>
  </w:style>
  <w:style w:type="paragraph" w:styleId="Heading2">
    <w:name w:val="heading 2"/>
    <w:basedOn w:val="Normal"/>
    <w:next w:val="Normal"/>
    <w:link w:val="Heading2Char"/>
    <w:uiPriority w:val="9"/>
    <w:unhideWhenUsed/>
    <w:qFormat/>
    <w:rsid w:val="00FC693F"/>
    <w:pPr>
      <w:keepNext/>
      <w:keepLines/>
      <w:spacing w:before="180" w:after="90"/>
      <w:outlineLvl w:val="1"/>
    </w:pPr>
    <w:rPr>
      <w:rFonts w:ascii="Calibri" w:hAnsi="Calibri" w:eastAsia="Calibri" w:cs="Calibri"/>
      <w:b/>
      <w:bCs/>
      <w:i w:val="0"/>
      <w:color w:val="2E5496"/>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contextualSpacing/>
      <w:jc w:val="both"/>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contextualSpacing/>
      <w:jc w:val="both"/>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Tefsir Dersi Raporu</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