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Calibri" w:cs="Calibri"/>
          <w:b/>
          <w:color w:val="1F3864"/>
          <w:sz w:val="38"/>
        </w:rPr>
        <w:t>Toplantı Raporu</w:t>
      </w:r>
    </w:p>
    <w:p>
      <w:pPr>
        <w:spacing w:after="40"/>
        <w:jc w:val="center"/>
      </w:pPr>
      <w:r>
        <w:rPr>
          <w:color w:val="2E5496"/>
          <w:sz w:val="25"/>
        </w:rPr>
        <w:t>İzolatörlü (Sismik Yalıtımlı) Yapılar İçin Hasargörebilirlik Çalışması — Yöntem Karşılaştırması</w:t>
      </w:r>
    </w:p>
    <w:p>
      <w:pPr>
        <w:spacing w:after="240"/>
        <w:jc w:val="center"/>
        <w:pBdr>
          <w:bottom w:val="single" w:sz="6" w:space="6" w:color="C9A227"/>
        </w:pBdr>
      </w:pPr>
      <w:r>
        <w:rPr>
          <w:color w:val="808080"/>
          <w:sz w:val="18"/>
        </w:rPr>
        <w:t>23 Ekim 2026  •  Modelleme ekibi iç toplantısı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Alan</w:t>
            </w:r>
          </w:p>
        </w:tc>
        <w:tc>
          <w:tcPr>
            <w:tcW w:type="dxa" w:w="6690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Bilgi</w:t>
            </w:r>
          </w:p>
        </w:tc>
      </w:tr>
      <w:tr>
        <w:tc>
          <w:tcPr>
            <w:tcW w:type="dxa" w:w="238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Tarih / süre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23 Ekim 2026 • yaklaşık 50 dakika</w:t>
            </w:r>
          </w:p>
        </w:tc>
      </w:tr>
      <w:tr>
        <w:tc>
          <w:tcPr>
            <w:tcW w:type="dxa" w:w="238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Sismik yalıtımlı (izolatörlü) yapılar, özellikle hastaneler için hasargörebilirlik (vulnerability) modelinin hangi yöntemle üretileceği</w:t>
            </w:r>
          </w:p>
        </w:tc>
      </w:tr>
      <w:tr>
        <w:tc>
          <w:tcPr>
            <w:tcW w:type="dxa" w:w="238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Sunan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Kayıttan net değil; çalışmayı yürüten ekip üyesi yöntemleri sunmuştur.</w:t>
            </w:r>
          </w:p>
        </w:tc>
      </w:tr>
      <w:tr>
        <w:tc>
          <w:tcPr>
            <w:tcW w:type="dxa" w:w="238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Katılımcılar</w:t>
            </w:r>
          </w:p>
        </w:tc>
        <w:tc>
          <w:tcPr>
            <w:tcW w:type="dxa" w:w="6690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Kayıttan net değil; ekip lideri ("hocam" diye hitap edilen) ve üç-dört ekip üyesi. Konuşmada Merve, Nurullah ve Elif adları geçmektedir.</w:t>
            </w:r>
          </w:p>
        </w:tc>
      </w:tr>
    </w:tbl>
    <w:p>
      <w:pPr>
        <w:spacing w:after="80"/>
      </w:pPr>
      <w:r>
        <w:rPr>
          <w:i/>
          <w:color w:val="808080"/>
          <w:sz w:val="16"/>
        </w:rPr>
        <w:t>İsimler kayıttan aktarılmıştır; bazı isimlerde yazım farkı olabilir.</w:t>
      </w:r>
    </w:p>
    <w:p>
      <w:pPr>
        <w:pStyle w:val="Heading1"/>
      </w:pPr>
      <w:r>
        <w:t>1. Toplantının Amacı</w:t>
      </w:r>
    </w:p>
    <w:p>
      <w:pPr>
        <w:jc w:val="both"/>
      </w:pPr>
      <w:r>
        <w:rPr/>
        <w:t>Toplantıda, izolatörlü yapıların hasargörebilirliğini üretmek için denenen yöntemlerin sonuçları değerlendirilmiş ve hangi yönde ilerleneceği tartışılmıştır. Önümüzde bir müşteri talebi (hastane sigortası) bulunduğundan işin hızlı sonuçlandırılması gerektiği vurgulanmıştır.</w:t>
      </w:r>
    </w:p>
    <w:p>
      <w:pPr>
        <w:pStyle w:val="Heading1"/>
      </w:pPr>
      <w:r>
        <w:t>2. Denenen Yaklaşımlar</w:t>
      </w:r>
    </w:p>
    <w:p>
      <w:pPr>
        <w:pStyle w:val="Heading2"/>
      </w:pPr>
      <w:r>
        <w:t>2.1. Sistem kırılganlığı (en az birinin aşılma olasılığı)</w:t>
      </w:r>
    </w:p>
    <w:p>
      <w:pPr>
        <w:pStyle w:val="ListBullet"/>
      </w:pPr>
      <w:r>
        <w:rPr/>
        <w:t>Önceki toplantılarda konuşulan sistem kırılganlığı formülü esas alınmıştır: izolatör veya üst yapıdan en az birinin hasar eşiğini aşması olasılığı.</w:t>
      </w:r>
    </w:p>
    <w:p>
      <w:pPr>
        <w:pStyle w:val="ListBullet"/>
      </w:pPr>
      <w:r>
        <w:rPr/>
        <w:t>Örnek: 10 binadan 7'sinde izolatör, 4'ünde üst yapı eşiği aşmışsa, sistem hasarlı sayısı iki küme toplamından kesişimin çıkarılmasıyla bulunur. Aynı sonuca, izolatör aşıldığında üst yapı aşılma olasılığının koşullu olarak hesaplanmasıyla da ulaşılır.</w:t>
      </w:r>
    </w:p>
    <w:p>
      <w:pPr>
        <w:pStyle w:val="ListBullet"/>
      </w:pPr>
      <w:r>
        <w:rPr/>
        <w:t>İzolatör ve üst yapı hasarı arasındaki korelasyon (ρ) bir parametredir. Bağımsızlık durumu (ρ = 0) ile birlikte yaklaşık 0,5 korelasyon da denenmiştir.</w:t>
      </w:r>
    </w:p>
    <w:p>
      <w:pPr>
        <w:pStyle w:val="ListBullet"/>
      </w:pPr>
      <w:r>
        <w:rPr/>
        <w:t>Bu yöntemde sistem kırılganlığı elde edildiği için tek bir sonuç (consequence) modeli kullanılmaktadır.</w:t>
      </w:r>
    </w:p>
    <w:p>
      <w:pPr>
        <w:pStyle w:val="Heading2"/>
      </w:pPr>
      <w:r>
        <w:t>2.2. Ağırlıklandırma yöntemi (iki kırılganlık, iki consequence)</w:t>
      </w:r>
    </w:p>
    <w:p>
      <w:pPr>
        <w:pStyle w:val="ListBullet"/>
      </w:pPr>
      <w:r>
        <w:rPr/>
        <w:t>İzolatör ve üst yapı için ayrı kırılganlık ve ayrı consequence modeli kullanılır. İkisi toplanırsa DS3 ve DS4 için consequence değeri 2 olur; oysa 1 olması gerektiğinden, izolatörün ve yapının maliyet oranlarına göre ağırlıklandırma önerilmiştir.</w:t>
      </w:r>
    </w:p>
    <w:p>
      <w:pPr>
        <w:pStyle w:val="ListBullet"/>
      </w:pPr>
      <w:r>
        <w:rPr/>
        <w:t>İzolatör maliyet payı için %10, %15, %20, %25 gibi değerler denenmiştir. Ağırlık arttıkça sonuç izolatör eğrisine yaklaşmaktadır.</w:t>
      </w:r>
    </w:p>
    <w:p>
      <w:pPr>
        <w:pStyle w:val="ListBullet"/>
      </w:pPr>
      <w:r>
        <w:rPr/>
        <w:t>Ağırlık oranları için bir araştırma yapılmamıştır; yalnızca bir konferansta izolatör üreticisiyle yapılan görüşmeye dayanmaktadır (uzman görüşü). Araştırılması gerekmektedir.</w:t>
      </w:r>
    </w:p>
    <w:p>
      <w:pPr>
        <w:pStyle w:val="ListBullet"/>
      </w:pPr>
      <w:r>
        <w:rPr/>
        <w:t>Ağırlıklandırma yöntemi, sistem kırılganlığı yöntemine göre daha düşük hasargörebilirlik üretmektedir.</w:t>
      </w:r>
    </w:p>
    <w:p>
      <w:pPr>
        <w:pStyle w:val="Heading1"/>
      </w:pPr>
      <w:r>
        <w:t>3. Sonuçların Yorumu</w:t>
      </w:r>
    </w:p>
    <w:p>
      <w:pPr>
        <w:pStyle w:val="ListBullet"/>
      </w:pPr>
      <w:r>
        <w:rPr/>
        <w:t xml:space="preserve">Eğriler bir </w:t>
      </w:r>
      <w:r>
        <w:rPr>
          <w:b/>
        </w:rPr>
        <w:t>bant</w:t>
      </w:r>
      <w:r>
        <w:rPr/>
        <w:t xml:space="preserve"> olarak gösterilmiştir. Hangisinin seçileceği karar vericinin risk tutumuna bağlıdır. Muhafazakâr yaklaşım isteniyorsa siyah noktalı (daha yüksek hasargörebilirlik veren) eğri seçilmelidir; ortalamaya yakın ya da risk alan yaklaşım için diğer eğriler (mavi, gri) tercih edilebilir.</w:t>
      </w:r>
    </w:p>
    <w:p>
      <w:pPr>
        <w:pStyle w:val="ListBullet"/>
      </w:pPr>
      <w:r>
        <w:rPr/>
        <w:t>Bir katılımcı korelasyonun analizden gelmediğini, kabul edilmiş bir değer olduğunu hatırlatmıştır. İzolatör hasarına bağlı yapısal hasar ilişkisinin makul bulunduğu, ancak korelasyon varsayımının yöntemin zayıf tarafı olduğu belirtilmiştir.</w:t>
      </w:r>
    </w:p>
    <w:p>
      <w:pPr>
        <w:pStyle w:val="ListBullet"/>
      </w:pPr>
      <w:r>
        <w:rPr/>
        <w:t>Ekip lideri, izolatör ciddi hasar aldığında (ör. elastomerik yastıkta çarpma) üst yapıda da ağır hasar beklenmesi gerektiğini; bu nedenle izolatörün düşük hasar durumlarının (DS1–2) ve ağır hasar durumlarının (DS3–4) üst yapıdaki ağır hasarla ilişkilendirilebileceğini dile getirmiştir.</w:t>
      </w:r>
    </w:p>
    <w:p>
      <w:pPr>
        <w:pStyle w:val="ListBullet"/>
      </w:pPr>
      <w:r>
        <w:rPr/>
        <w:t>Bir katılımcı, bir binada yüzlerce izolatör bulunduğunu, tek bir izolatör hasar alıp değiştirilebileceğinden bunun doğrudan tüm sistemin hasarı anlamına gelmeyebileceğini ifade etmiştir. Ekip lideri bu detaya girme imkânının olmadığını belirtmiştir.</w:t>
      </w:r>
    </w:p>
    <w:p>
      <w:pPr>
        <w:pStyle w:val="ListBullet"/>
      </w:pPr>
      <w:r>
        <w:rPr/>
        <w:t>Tek bir doğru yaklaşım olmadığı, birden fazla makul yaklaşımın bulunduğu görüşü paylaşılmıştır.</w:t>
      </w:r>
    </w:p>
    <w:p>
      <w:pPr>
        <w:pStyle w:val="Heading1"/>
      </w:pPr>
      <w:r>
        <w:t>4. Alternatif Fikirler</w:t>
      </w:r>
    </w:p>
    <w:p>
      <w:pPr>
        <w:pStyle w:val="ListBullet"/>
      </w:pPr>
      <w:r>
        <w:rPr/>
        <w:t>Mevcut izolatör kırılganlıklarının, ekibin kendi üst yapı kırılganlıklarıyla aynı mantıkla birleştirilmesi.</w:t>
      </w:r>
    </w:p>
    <w:p>
      <w:pPr>
        <w:pStyle w:val="ListBullet"/>
      </w:pPr>
      <w:r>
        <w:rPr/>
        <w:t>Bileşen bazlı ilerleyen vulnerability modelinde izolatörün bir bileşen olarak eklenmesi (maliyet yüzdesiyle) ve ETS/hastane bileşen yüzdelerinden yararlanılması.</w:t>
      </w:r>
    </w:p>
    <w:p>
      <w:pPr>
        <w:pStyle w:val="ListBullet"/>
      </w:pPr>
      <w:r>
        <w:rPr/>
        <w:t>İki serbestlik dereceli sistem analizi ideal olmakla birlikte, şu an için zaman olmadığı belirtilmiştir.</w:t>
      </w:r>
    </w:p>
    <w:p>
      <w:pPr>
        <w:pStyle w:val="ListBullet"/>
      </w:pPr>
      <w:r>
        <w:rPr/>
        <w:t>Bulunan bir makalede izolatörlü ve izolatörsüz binalar için drift sınırlarına dayalı (yaklaşık %0,25, %0,5, %1, %2) kırılganlıklar verilmektedir; bunlardan bir oran çıkarılarak yaklaşık bir medyan kıyaslaması yapılabileceği önerilmiştir. Makalede PGA kullanıldığı, ekibin ise PGV üzerinden çalıştığı için dönüşüm gerekeceği belirtilmiştir.</w:t>
      </w:r>
    </w:p>
    <w:p>
      <w:pPr>
        <w:pStyle w:val="ListBullet"/>
      </w:pPr>
      <w:r>
        <w:rPr/>
        <w:t>Mevcut consequence modelinin kullanılması durumunda, üst yapı kırılganlıklarının da PGV üzerinden ve ona uygun olması gerektiği vurgulanmıştır.</w:t>
      </w:r>
    </w:p>
    <w:p>
      <w:pPr>
        <w:pStyle w:val="Heading1"/>
      </w:pPr>
      <w:r>
        <w:t>5. Tutarlılık Kontrolü ve Yaklaşım Önerileri</w:t>
      </w:r>
    </w:p>
    <w:p>
      <w:pPr>
        <w:pStyle w:val="ListBullet"/>
      </w:pPr>
      <w:r>
        <w:rPr/>
        <w:t>Üretilecek hasargörebilirlik, katastrofik risk modelindeki mevcut 9–10 bina sınıfı (yaş ve kat adedine göre) ile uyumsuz olmamalıdır; aksi halde sonuç kimseye açıklanamaz. Yöntemden bağımsız bir tutarlılık kontrolü şarttır.</w:t>
      </w:r>
    </w:p>
    <w:p>
      <w:pPr>
        <w:pStyle w:val="ListBullet"/>
      </w:pPr>
      <w:r>
        <w:rPr/>
        <w:t>Karşılaştırmanın düşük, orta ve yüksek katlı (low-rise, mid-rise, high-rise) yapılar için ayrı yapılması gerektiği belirtilmiştir.</w:t>
      </w:r>
    </w:p>
    <w:p>
      <w:pPr>
        <w:pStyle w:val="ListBullet"/>
      </w:pPr>
      <w:r>
        <w:rPr/>
        <w:t>İzolatörlü hastanelerin 2010 sonrası, düzenlemeye tabi, yüksek kod seviyeli ve çoğunlukla on kata kadar yapılar olduğu ifade edilmiştir.</w:t>
      </w:r>
    </w:p>
    <w:p>
      <w:pPr>
        <w:pStyle w:val="ListBullet"/>
      </w:pPr>
      <w:r>
        <w:rPr/>
        <w:t>Sigorta şirketlerinin müşteriye "ne kadar risk almak istersiniz" diye sorulabilecek bir risk algısı olmadığı, daha çok fiyatlamaya (underwriting) odaklandıkları belirtilmiştir. Bu nedenle sürecin çok hızlı ilerlemesi gerektiği vurgulanmıştır.</w:t>
      </w:r>
    </w:p>
    <w:p>
      <w:pPr>
        <w:pStyle w:val="Heading1"/>
      </w:pPr>
      <w:r>
        <w:t>6. Hastane Talebi</w:t>
      </w:r>
    </w:p>
    <w:p>
      <w:pPr>
        <w:jc w:val="both"/>
      </w:pPr>
      <w:r>
        <w:rPr/>
        <w:t>Önümüzde bir hastane talebi bulunduğu ve müşterinin bu konuda yanıt beklediği belirtilmiştir. Müşterinin gönderdiği hastane raporunda bir kompleks tanımlanmakta olup izolatörlü yapı bu kompleksin yalnızca bir kısmını temsil etmektedir; sigortalanan değer kompleksin tamamıdır.</w:t>
      </w:r>
    </w:p>
    <w:p>
      <w:pPr>
        <w:pStyle w:val="ListBullet"/>
      </w:pPr>
      <w:r>
        <w:rPr/>
        <w:t>Gelen dokümanların (poliçe yapıları, kontent bilgileri dâhil) incelenip bir cevap taslağının hazırlanması ve ekip liderine iletilmesi istenmiştir.</w:t>
      </w:r>
    </w:p>
    <w:p>
      <w:pPr>
        <w:pStyle w:val="ListBullet"/>
      </w:pPr>
      <w:r>
        <w:rPr/>
        <w:t>Hastane kontent oranları için eski (1980'ler) bir çalışma yerine FEMA'nın yeni yayınlarının kullanılması önerilmiştir.</w:t>
      </w:r>
    </w:p>
    <w:p>
      <w:pPr>
        <w:pStyle w:val="ListBullet"/>
      </w:pPr>
      <w:r>
        <w:rPr/>
        <w:t>Örnekleme sırasında hasarsızlık olasılığı (probability of no damage) ve tam hasar olasılığının (probability of full damage) dikkate alınması gerektiği teyit edilmiştir.</w:t>
      </w:r>
    </w:p>
    <w:p>
      <w:pPr>
        <w:pStyle w:val="Heading1"/>
      </w:pPr>
      <w:r>
        <w:t>7. Kararlar ve Aksiyon Maddeleri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567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953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Aksiyon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Sorumlu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953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Model belirsizliğini içeren bir bant üretilmesi; bu banttan genel izolatör davranışı ve hasargörebilirliğin çıkarılması. Çok hızlı yapılması istenmiştir.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Çalışmayı yürüten ekip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5953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Üretilen hasargörebilirliğin mevcut bina sınıfları (low/mid/high-rise) ile karşılaştırılarak tutarlılık kontrolünün yapılması.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Çalışmayı yürüten ekip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953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Bütün sonuçların derlenip önümüzdeki hafta son bir toplantıda görülmesi; yöntemler oturduktan sonra hastaneler için hasargörebilirliğin üretilmesi. Çarşamba günü yarım gün resmi tatil olduğundan Pazartesi–Salı (26–27 Ekim 2026) çalışılması gerektiği belirtilmiştir.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Ekip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953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Müşterinin hastane talebi için gelen dokümanlar incelenip cevap taslağı hazırlanması; ekip lideriyle paylaşılarak geri bildirim alınması (aynı gün saat 16:30 civarı ekip liderinin müsait olacağı belirtilmiştir).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Merve (kayıtta "Meris"; ad net değil)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5953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Nurullah'tan da konuya ilişkin katkı beklenmektedir (toplantıda bulunmuyordu).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Nurullah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5953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Toplantı notlarının alınması için yapay zekâ destekli toplantı kaydı/tutanak yönteminin denenmesi; kayıt başlatılmıştır.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Belirtilmedi</w:t>
            </w:r>
          </w:p>
        </w:tc>
      </w:tr>
    </w:tbl>
    <w:p>
      <w:pPr>
        <w:spacing w:after="40"/>
      </w:pPr>
    </w:p>
    <w:p>
      <w:pPr>
        <w:spacing w:before="240"/>
      </w:pPr>
      <w:r>
        <w:rPr>
          <w:i/>
          <w:color w:val="808080"/>
          <w:sz w:val="18"/>
        </w:rPr>
        <w:t>Not: Bu rapor, toplantı ses kaydının dökümünden düzenlenmiştir. Döküm yer yer çok bozuk olduğundan bazı bölümler bağlamdan yorumlanmıştır; özellikle eğri renkleri, korelasyon değerleri, makale ayrıntıları ve talep sahibi hakkındaki ifadeler kesin değildir. Aşağıdaki ifadeler düzeltilmiştir: "izletör/izeletör" → izolatör, "asar görebilirdik" → hasargörebilirlik, "kondisyonu" → koşullu, "konsekans" → consequence, "fragilite/fragiltiği" → kırılganlık, "Ketmod" → katastrofik risk modeli, "fima" → FEMA. Ad olarak geçen "Meris/Merve" aynı kişi olarak varsayılmıştır. Toplantı tarihi dosya adından (23 Ekim 2026) alınmıştır.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9A227"/>
      </w:pBdr>
      <w:tabs>
        <w:tab w:pos="9071" w:val="right"/>
      </w:tabs>
    </w:pPr>
    <w:r/>
    <w:r>
      <w:rPr>
        <w:color w:val="808080"/>
        <w:sz w:val="16"/>
      </w:rPr>
      <w:t>İzolatörlü Yapı Hasargörebilirliği — Toplantı Raporu</w:t>
    </w:r>
    <w:r>
      <w:rPr>
        <w:color w:val="808080"/>
        <w:sz w:val="16"/>
      </w:rPr>
      <w:tab/>
      <w:t xml:space="preserve">Sayfa </w:t>
    </w:r>
    <w:r>
      <w:rPr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30"/>
      <w:outlineLvl w:val="0"/>
      <w:pBdr>
        <w:bottom w:val="single" w:sz="6" w:space="4" w:color="C9A227"/>
      </w:pBdr>
    </w:pPr>
    <w:rPr>
      <w:rFonts w:ascii="Calibri" w:hAnsi="Calibri" w:eastAsia="Calibri" w:cs="Calibri"/>
      <w:b/>
      <w:bCs/>
      <w:i w:val="0"/>
      <w:color w:val="1F386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90"/>
      <w:outlineLvl w:val="1"/>
    </w:pPr>
    <w:rPr>
      <w:rFonts w:ascii="Calibri" w:hAnsi="Calibri" w:eastAsia="Calibri" w:cs="Calibri"/>
      <w:b/>
      <w:bCs/>
      <w:i w:val="0"/>
      <w:color w:val="2E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  <w:jc w:val="both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  <w:jc w:val="both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Toplantı Raporu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