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Toplantı Raporu</w:t>
      </w:r>
    </w:p>
    <w:p>
      <w:pPr>
        <w:spacing w:after="40"/>
        <w:jc w:val="center"/>
      </w:pPr>
      <w:r>
        <w:rPr>
          <w:color w:val="2E5496"/>
          <w:sz w:val="25"/>
        </w:rPr>
        <w:t>Türkre Parametrik Deprem Teminatı — Munich Re Toplantısı Sonrası Teknik Değerlendirme</w:t>
      </w:r>
    </w:p>
    <w:p>
      <w:pPr>
        <w:spacing w:after="240"/>
        <w:jc w:val="center"/>
        <w:pBdr>
          <w:bottom w:val="single" w:sz="6" w:space="6" w:color="C9A227"/>
        </w:pBdr>
      </w:pPr>
      <w:r>
        <w:rPr>
          <w:color w:val="808080"/>
          <w:sz w:val="18"/>
        </w:rPr>
        <w:t>23 Ekim 2026  •  Türkre yönetimi ↔ modelleme ekibi (Munich Re toplantısı sonrası)</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4536"/>
        <w:gridCol w:w="4536"/>
      </w:tblGrid>
      <w:tr>
        <w:trPr>
          <w:tblHeader w:val="true"/>
        </w:trPr>
        <w:tc>
          <w:tcPr>
            <w:tcW w:type="dxa" w:w="2381"/>
            <w:shd w:val="clear" w:color="auto" w:fill="1F3864"/>
          </w:tcPr>
          <w:p>
            <w:pPr>
              <w:spacing w:after="0" w:line="240" w:lineRule="auto"/>
            </w:pPr>
            <w:r/>
            <w:r>
              <w:rPr>
                <w:b/>
                <w:color w:val="FFFFFF"/>
                <w:sz w:val="19"/>
              </w:rPr>
              <w:t>Alan</w:t>
            </w:r>
          </w:p>
        </w:tc>
        <w:tc>
          <w:tcPr>
            <w:tcW w:type="dxa" w:w="6690"/>
            <w:shd w:val="clear" w:color="auto" w:fill="1F3864"/>
          </w:tcPr>
          <w:p>
            <w:pPr>
              <w:spacing w:after="0" w:line="240" w:lineRule="auto"/>
            </w:pPr>
            <w:r/>
            <w:r>
              <w:rPr>
                <w:b/>
                <w:color w:val="FFFFFF"/>
                <w:sz w:val="19"/>
              </w:rPr>
              <w:t>Bilgi</w:t>
            </w:r>
          </w:p>
        </w:tc>
      </w:tr>
      <w:tr>
        <w:tc>
          <w:tcPr>
            <w:tcW w:type="dxa" w:w="2381"/>
            <w:shd w:val="clear" w:color="auto" w:fill="F2F5FA"/>
          </w:tcPr>
          <w:p>
            <w:pPr>
              <w:spacing w:after="0" w:line="240" w:lineRule="auto"/>
            </w:pPr>
            <w:r/>
            <w:r>
              <w:rPr>
                <w:b/>
                <w:sz w:val="19"/>
              </w:rPr>
              <w:t>Tarih / süre</w:t>
            </w:r>
          </w:p>
        </w:tc>
        <w:tc>
          <w:tcPr>
            <w:tcW w:type="dxa" w:w="6690"/>
            <w:shd w:val="clear" w:color="auto" w:fill="F2F5FA"/>
          </w:tcPr>
          <w:p>
            <w:pPr>
              <w:spacing w:after="0" w:line="240" w:lineRule="auto"/>
            </w:pPr>
            <w:r/>
            <w:r>
              <w:rPr>
                <w:b/>
                <w:sz w:val="19"/>
              </w:rPr>
              <w:t>23 Ekim 2026 • yaklaşık 28 dakika (Munich Re toplantısının hemen sonrası)</w:t>
            </w:r>
          </w:p>
        </w:tc>
      </w:tr>
      <w:tr>
        <w:tc>
          <w:tcPr>
            <w:tcW w:type="dxa" w:w="2381"/>
            <w:shd w:val="clear" w:color="auto" w:fill="F2F5FA"/>
          </w:tcPr>
          <w:p>
            <w:pPr>
              <w:spacing w:after="0" w:line="240" w:lineRule="auto"/>
            </w:pPr>
            <w:r/>
            <w:r>
              <w:rPr>
                <w:b/>
                <w:sz w:val="19"/>
              </w:rPr>
              <w:t>Konu</w:t>
            </w:r>
          </w:p>
        </w:tc>
        <w:tc>
          <w:tcPr>
            <w:tcW w:type="dxa" w:w="6690"/>
            <w:shd w:val="clear" w:color="auto" w:fill="F2F5FA"/>
          </w:tcPr>
          <w:p>
            <w:pPr>
              <w:spacing w:after="0" w:line="240" w:lineRule="auto"/>
            </w:pPr>
            <w:r/>
            <w:r>
              <w:rPr>
                <w:b/>
                <w:sz w:val="19"/>
              </w:rPr>
              <w:t>Munich Re/Lockton'ın önerdiği PGA tabanlı payout yapısının DASK kümülü için uygunluğunun teknik olarak değerlendirilmesi</w:t>
            </w:r>
          </w:p>
        </w:tc>
      </w:tr>
      <w:tr>
        <w:tc>
          <w:tcPr>
            <w:tcW w:type="dxa" w:w="2381"/>
            <w:shd w:val="clear" w:color="auto" w:fill="F2F5FA"/>
          </w:tcPr>
          <w:p>
            <w:pPr>
              <w:spacing w:after="0" w:line="240" w:lineRule="auto"/>
            </w:pPr>
            <w:r/>
            <w:r>
              <w:rPr>
                <w:b/>
                <w:sz w:val="19"/>
              </w:rPr>
              <w:t>Katılımcılar</w:t>
            </w:r>
          </w:p>
        </w:tc>
        <w:tc>
          <w:tcPr>
            <w:tcW w:type="dxa" w:w="6690"/>
            <w:shd w:val="clear" w:color="auto" w:fill="F2F5FA"/>
          </w:tcPr>
          <w:p>
            <w:pPr>
              <w:spacing w:after="0" w:line="240" w:lineRule="auto"/>
            </w:pPr>
            <w:r/>
            <w:r>
              <w:rPr>
                <w:b/>
                <w:sz w:val="19"/>
              </w:rPr>
              <w:t>Kayıttan net değil; Türkre yöneticileri ile modelleme ekibi. Konuşmada Tolga, Mehmet, Ege, Nurullah, Sinan Hoca ve Özgür Bey adları geçmektedir.</w:t>
            </w:r>
          </w:p>
        </w:tc>
      </w:tr>
    </w:tbl>
    <w:p>
      <w:pPr>
        <w:spacing w:after="80"/>
      </w:pPr>
      <w:r>
        <w:rPr>
          <w:i/>
          <w:color w:val="808080"/>
          <w:sz w:val="16"/>
        </w:rPr>
        <w:t>İsimler kayıttan aktarılmıştır; bazı isimlerde yazım farkı olabilir.</w:t>
      </w:r>
    </w:p>
    <w:p>
      <w:pPr>
        <w:pStyle w:val="Heading1"/>
      </w:pPr>
      <w:r>
        <w:t>1. Toplantının Amacı</w:t>
      </w:r>
    </w:p>
    <w:p>
      <w:pPr>
        <w:jc w:val="both"/>
      </w:pPr>
      <w:r>
        <w:rPr/>
        <w:t>Toplantı, Munich Re ile yapılan görüşmenin hemen ardından, önerilen parametrik payout yapısının DASK kümülü açısından uygun olup olmadığını modelleme ekibinin görüşüyle değerlendirmek ve Türkre'nin vereceği yanıt için teknik zemin oluşturmak amacıyla yapılmıştır. Karar sürecinin kısa (kayıtta iki-üç gün) olduğu belirtilmiştir.</w:t>
      </w:r>
    </w:p>
    <w:p>
      <w:pPr>
        <w:pStyle w:val="Heading1"/>
      </w:pPr>
      <w:r>
        <w:t>2. Yönetim Tarafının Soruları</w:t>
      </w:r>
    </w:p>
    <w:p>
      <w:pPr>
        <w:pStyle w:val="ListBullet"/>
      </w:pPr>
      <w:r>
        <w:rPr/>
        <w:t>Sabah gönderilen karşılaştırmada, mevcut koşullarda anlaşmayı yalnızca iki depremin tetiklediği görülmüştür. Yıkıcı bir Pazarcık veya Elbistan depreminde yapının çalışmaması yönetim açısından büyük bir sıkıntı olarak değerlendirilmiştir.</w:t>
      </w:r>
    </w:p>
    <w:p>
      <w:pPr>
        <w:pStyle w:val="ListBullet"/>
      </w:pPr>
      <w:r>
        <w:rPr/>
        <w:t>İyileştirme için yapılacak şeyin yalnızca PGA eşiğini düşürmek mi, yoksa farklı bir hesaplama metodolojisi mi olduğu sorulmuştur.</w:t>
      </w:r>
    </w:p>
    <w:p>
      <w:pPr>
        <w:pStyle w:val="ListBullet"/>
      </w:pPr>
      <w:r>
        <w:rPr/>
        <w:t>Daha önce reasürör olarak katıldıkları Fas depreminde hesaplamanın farklı (MMI tabanlı olduğu izlenimi veren) yapıldığı, MMI'nin ne kadar fark yaratacağı ve mevcut hasarlarla MMI'ye göre modelleme yapılmasının ne kadar zahmetli olacağı sorulmuştur.</w:t>
      </w:r>
    </w:p>
    <w:p>
      <w:pPr>
        <w:pStyle w:val="Heading1"/>
      </w:pPr>
      <w:r>
        <w:t>3. Karşı Tarafın Savunduğu Gerekçeler (Munich Re Toplantısından Aktarım)</w:t>
      </w:r>
    </w:p>
    <w:p>
      <w:pPr>
        <w:jc w:val="both"/>
      </w:pPr>
      <w:r>
        <w:rPr/>
        <w:t>Modelleme ekibinden bir katılımcı, Munich Re toplantısında dile getirilenleri şöyle özetlemiştir:</w:t>
      </w:r>
    </w:p>
    <w:p>
      <w:pPr>
        <w:pStyle w:val="ListBullet"/>
      </w:pPr>
      <w:r>
        <w:rPr/>
        <w:t>Geçmiş depremlerde USGS ShakeMap sonuçları kullanılmış, AFAD istasyonlarıyla USGS arasında büyük bir fark görülmemiştir.</w:t>
      </w:r>
    </w:p>
    <w:p>
      <w:pPr>
        <w:pStyle w:val="ListBullet"/>
      </w:pPr>
      <w:r>
        <w:rPr/>
        <w:t>Kendi yer hareketi modelleri ile USGS ShakeMap arasındaki fark da incelenmiş ve payout yapısında dikkate alındığı söylenmiştir.</w:t>
      </w:r>
    </w:p>
    <w:p>
      <w:pPr>
        <w:pStyle w:val="ListBullet"/>
      </w:pPr>
      <w:r>
        <w:rPr/>
        <w:t>Marmara bölgesindeki endüstriyel tesisler dâhil birçok alternatif arasından bu yapının uygun görüldüğü ifade edilmiştir.</w:t>
      </w:r>
    </w:p>
    <w:p>
      <w:pPr>
        <w:pStyle w:val="ListBullet"/>
      </w:pPr>
      <w:r>
        <w:rPr/>
        <w:t>Karşı taraf, basis riskin (büyük hasarda ödeme yapılmaması ya da küçük hasarda büyük ödeme yapılması) dikkate alındığını belirtmiştir.</w:t>
      </w:r>
    </w:p>
    <w:p>
      <w:pPr>
        <w:pStyle w:val="Heading1"/>
      </w:pPr>
      <w:r>
        <w:t>4. Modelleme Ekibinin Bulguları</w:t>
      </w:r>
    </w:p>
    <w:p>
      <w:pPr>
        <w:jc w:val="both"/>
      </w:pPr>
      <w:r>
        <w:rPr/>
        <w:t>Ekibin yaptığı çalışma yaklaşık on senaryo üzerinden yürütülmüştür:</w:t>
      </w:r>
    </w:p>
    <w:p>
      <w:pPr>
        <w:pStyle w:val="ListBullet"/>
      </w:pPr>
      <w:r>
        <w:rPr/>
        <w:t>Kendi yer hareketi modeli kullanılarak, Lockton'ın kullandığı 5×5 km ve 10×10 km grid yapısında her gridin orta noktasındaki medyan PGA bulunmuş, payout yapısına uygulanmış ve gridlerdeki kümül değerleriyle çarpılmıştır. Yöntem, Lockton'ın raporlarındaki yöntemle birebir aynıdır.</w:t>
      </w:r>
    </w:p>
    <w:p>
      <w:pPr>
        <w:pStyle w:val="ListBullet"/>
      </w:pPr>
      <w:r>
        <w:rPr/>
        <w:t>Yerleşim birimlerine yakın çok büyük bir depremde yapı tam ödeme yapmakta (yaklaşık 200 milyon civarı ifade edilmiştir); bu, DASK'ın ihtiyaç anında ilk ödemeyi sağlama beklentisini karşılamaktadır.</w:t>
      </w:r>
    </w:p>
    <w:p>
      <w:pPr>
        <w:pStyle w:val="ListBullet"/>
      </w:pPr>
      <w:r>
        <w:rPr/>
        <w:t>Lockton'ın gönderdiği HTML dosyasındaki tarihsel olay listesi de benzer bir tablo vermektedir: 1999 Kocaeli depremi tam ödeme yaparken Maraş, Adapazarı ve diğer bazı olaylar kısmi ya da sıfır ödeme üretmektedir. Katılımcılar bu tablo ile kendi sonuçları arasında büyük bir uyuşmazlık görmemiştir.</w:t>
      </w:r>
    </w:p>
    <w:p>
      <w:pPr>
        <w:pStyle w:val="ListBullet"/>
      </w:pPr>
      <w:r>
        <w:rPr/>
        <w:t>Modelin brüt kayıp sonuçları ile iki satıcı modelin (AIR ve RMS) sonuçları, özellikle büyük depremlerde, birbirinden çok farklı değildir.</w:t>
      </w:r>
    </w:p>
    <w:p>
      <w:pPr>
        <w:pStyle w:val="Heading1"/>
      </w:pPr>
      <w:r>
        <w:t>5. Payout Yapısının DASK İçin Uygunluğu</w:t>
      </w:r>
    </w:p>
    <w:p>
      <w:pPr>
        <w:jc w:val="both"/>
      </w:pPr>
      <w:r>
        <w:rPr/>
        <w:t>Modelleme ekibinin asıl itirazı, payout yapısının DASK kümülü için doğru olup olmadığıdır.</w:t>
      </w:r>
    </w:p>
    <w:p>
      <w:pPr>
        <w:pStyle w:val="Heading2"/>
      </w:pPr>
      <w:r>
        <w:t>5.1. Yapısal hasar ve diğer hasar kalemleri</w:t>
      </w:r>
    </w:p>
    <w:p>
      <w:pPr>
        <w:pStyle w:val="ListBullet"/>
      </w:pPr>
      <w:r>
        <w:rPr/>
        <w:t>Daha önce Türkre'nin ihtiyari biriminin bir sigortalısı için hazırlanan çalışmada (Erdemir Demir Çelik tesisleri), yapı, muhteviyat ve BI birlikte dikkate alındığında önerilen PGA payout yapısı ekibin bağımsız olarak bulduğu optimum yapıyla büyük ölçüde örtüşmüştür.</w:t>
      </w:r>
    </w:p>
    <w:p>
      <w:pPr>
        <w:pStyle w:val="ListBullet"/>
      </w:pPr>
      <w:r>
        <w:rPr/>
        <w:t>Karşı taraf aynı yapının DASK için de geçerli olduğunu savunmaktadır; ancak DASK'ta yalnızca yapısal (ve buna bağlı yapısal olmayan) hasar bulunmakta, BI, ticari hasar ve muhteviyat yoktur. Yalnızca yapı dikkate alındığında önerilen yapının ekibin bulduğundan farklılaştığı belirtilmiştir.</w:t>
      </w:r>
    </w:p>
    <w:p>
      <w:pPr>
        <w:pStyle w:val="ListBullet"/>
      </w:pPr>
      <w:r>
        <w:rPr/>
        <w:t>Bu çalışmanın DASK kümülü üzerinde yapılmadığı, kümülün elde bulunmadığı ve bulguların kısıtlı analizlere dayandığı ifade edilmiştir.</w:t>
      </w:r>
    </w:p>
    <w:p>
      <w:pPr>
        <w:pStyle w:val="Heading2"/>
      </w:pPr>
      <w:r>
        <w:t>5.2. Eşik düzeyi ve kule yapısı</w:t>
      </w:r>
    </w:p>
    <w:p>
      <w:pPr>
        <w:pStyle w:val="ListBullet"/>
      </w:pPr>
      <w:r>
        <w:rPr/>
        <w:t>Munich Re temsilcisinin, bu kapasitenin 300 milyon üzerindeki retansiyon bölgesinde olduğunu, klasik kulenin en üstünde olsaydı PGA tetikleyicisini daha yüksekten alacaklarını söylediği anlaşılmıştır; bu ifade ekibe çelişkili gelmiştir.</w:t>
      </w:r>
    </w:p>
    <w:p>
      <w:pPr>
        <w:pStyle w:val="ListBullet"/>
      </w:pPr>
      <w:r>
        <w:rPr/>
        <w:t>Mevcut payout yapısındaki alt tetikleyici seviyesinin yüksek kaldığı gösterilmiştir.</w:t>
      </w:r>
    </w:p>
    <w:p>
      <w:pPr>
        <w:pStyle w:val="ListBullet"/>
      </w:pPr>
      <w:r>
        <w:rPr/>
        <w:t>Kapasitenin ucuz olduğu ve alınırsa Türkre'nin kendini güvende hissedeceği; ancak büyük bir olayda tetiklenmemesinin nasıl açıklanacağı sorusunun önemli olduğu belirtilmiştir.</w:t>
      </w:r>
    </w:p>
    <w:p>
      <w:pPr>
        <w:pStyle w:val="ListBullet"/>
      </w:pPr>
      <w:r>
        <w:rPr/>
        <w:t>Modelleme ekibinden bir katılımcıya göre mevcut payout yapısı, yönetimin beklediği yapı olmayabilir.</w:t>
      </w:r>
    </w:p>
    <w:p>
      <w:pPr>
        <w:pStyle w:val="Heading1"/>
      </w:pPr>
      <w:r>
        <w:t>6. Müzakere ve Değerlendirmeler</w:t>
      </w:r>
    </w:p>
    <w:p>
      <w:pPr>
        <w:pStyle w:val="ListBullet"/>
      </w:pPr>
      <w:r>
        <w:rPr/>
        <w:t>Bir yönetici, mevcut haliyle bu yapıya Yönetim Kurulu'nun onay vereceğini düşünmediğini; Türkre ekibinin görevinin konuyu doğru anlatıp karara sunmak olduğunu söylemiştir.</w:t>
      </w:r>
    </w:p>
    <w:p>
      <w:pPr>
        <w:pStyle w:val="ListBullet"/>
      </w:pPr>
      <w:r>
        <w:rPr/>
        <w:t>Farklı versiyonların (teklif seçeneklerinin) alınması gerektiği görüşü dile getirilmiştir.</w:t>
      </w:r>
    </w:p>
    <w:p>
      <w:pPr>
        <w:pStyle w:val="ListBullet"/>
      </w:pPr>
      <w:r>
        <w:rPr/>
        <w:t>Simüle edilmiş depremlerin daha çeşitli gösterilmesinin, tetikleyici senaryoları açısından faydalı olacağı belirtilmiştir.</w:t>
      </w:r>
    </w:p>
    <w:p>
      <w:pPr>
        <w:pStyle w:val="ListBullet"/>
      </w:pPr>
      <w:r>
        <w:rPr/>
        <w:t>Lokasyon bazında tetiklenmeyen noktaların olacağının zaten bilinerek ve bilinçli olarak kabul edildiği (ör. İstanbul'un kuzeyindeki gridler) bir katılımcı tarafından hatırlatılmıştır. Modelleme ekibi bunun daha önceki teklif aşamasına ilişkin olduğunu, güncel soruyu ise payout yapısının DASK kümülü için geçerliliği olarak gördüklerini belirtmiştir. Konu kayıtta tam çözülmemiştir.</w:t>
      </w:r>
    </w:p>
    <w:p>
      <w:pPr>
        <w:pStyle w:val="ListBullet"/>
      </w:pPr>
      <w:r>
        <w:rPr/>
        <w:t>Modelleme ekibi, olayın her yönünü göremeyebileceklerini ve Özgür Bey'in anlamadıkları bir haklılığı olabileceğini; teknik görüşün bu aşamada önemli olduğunu belirtmiştir.</w:t>
      </w:r>
    </w:p>
    <w:p>
      <w:pPr>
        <w:pStyle w:val="ListBullet"/>
      </w:pPr>
      <w:r>
        <w:rPr/>
        <w:t>Munich Re'nin basis riski en aza indirdiğini ve yapıyı en uygun bulduğunu söylemesine karşın, ekip bunu doğrulayan bir emare görmediğini, analizlerin 3–5 aylık kısıtlı çalışmalara dayandığını ifade etmiştir.</w:t>
      </w:r>
    </w:p>
    <w:p>
      <w:pPr>
        <w:pStyle w:val="Heading1"/>
      </w:pPr>
      <w:r>
        <w:t>7. Kararlar ve Aksiyon Maddeleri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3024"/>
        <w:gridCol w:w="3024"/>
        <w:gridCol w:w="3024"/>
      </w:tblGrid>
      <w:tr>
        <w:trPr>
          <w:tblHeader w:val="true"/>
        </w:trPr>
        <w:tc>
          <w:tcPr>
            <w:tcW w:type="dxa" w:w="567"/>
            <w:shd w:val="clear" w:color="auto" w:fill="1F3864"/>
          </w:tcPr>
          <w:p>
            <w:pPr>
              <w:spacing w:after="0" w:line="240" w:lineRule="auto"/>
            </w:pPr>
            <w:r/>
            <w:r>
              <w:rPr>
                <w:b/>
                <w:color w:val="FFFFFF"/>
                <w:sz w:val="19"/>
              </w:rPr>
              <w:t>#</w:t>
            </w:r>
          </w:p>
        </w:tc>
        <w:tc>
          <w:tcPr>
            <w:tcW w:type="dxa" w:w="5953"/>
            <w:shd w:val="clear" w:color="auto" w:fill="1F3864"/>
          </w:tcPr>
          <w:p>
            <w:pPr>
              <w:spacing w:after="0" w:line="240" w:lineRule="auto"/>
            </w:pPr>
            <w:r/>
            <w:r>
              <w:rPr>
                <w:b/>
                <w:color w:val="FFFFFF"/>
                <w:sz w:val="19"/>
              </w:rPr>
              <w:t>Aksiyon</w:t>
            </w:r>
          </w:p>
        </w:tc>
        <w:tc>
          <w:tcPr>
            <w:tcW w:type="dxa" w:w="2551"/>
            <w:shd w:val="clear" w:color="auto" w:fill="1F3864"/>
          </w:tcPr>
          <w:p>
            <w:pPr>
              <w:spacing w:after="0" w:line="240" w:lineRule="auto"/>
            </w:pPr>
            <w:r/>
            <w:r>
              <w:rPr>
                <w:b/>
                <w:color w:val="FFFFFF"/>
                <w:sz w:val="19"/>
              </w:rPr>
              <w:t>Sorumlu</w:t>
            </w:r>
          </w:p>
        </w:tc>
      </w:tr>
      <w:tr>
        <w:tc>
          <w:tcPr>
            <w:tcW w:type="dxa" w:w="567"/>
            <w:shd w:val="clear" w:color="auto" w:fill="F2F5FA"/>
          </w:tcPr>
          <w:p>
            <w:pPr>
              <w:spacing w:after="0" w:line="240" w:lineRule="auto"/>
            </w:pPr>
            <w:r/>
            <w:r>
              <w:rPr>
                <w:sz w:val="19"/>
              </w:rPr>
              <w:t>1</w:t>
            </w:r>
          </w:p>
        </w:tc>
        <w:tc>
          <w:tcPr>
            <w:tcW w:type="dxa" w:w="5953"/>
            <w:shd w:val="clear" w:color="auto" w:fill="F2F5FA"/>
          </w:tcPr>
          <w:p>
            <w:pPr>
              <w:spacing w:after="0" w:line="240" w:lineRule="auto"/>
            </w:pPr>
            <w:r/>
            <w:r>
              <w:rPr>
                <w:sz w:val="19"/>
              </w:rPr>
              <w:t>Notlar alınmıştır; Özgür Bey'in görüşü alındıktan sonra karşı tarafa verilecek cevap yazılacaktır.</w:t>
            </w:r>
          </w:p>
        </w:tc>
        <w:tc>
          <w:tcPr>
            <w:tcW w:type="dxa" w:w="2551"/>
            <w:shd w:val="clear" w:color="auto" w:fill="F2F5FA"/>
          </w:tcPr>
          <w:p>
            <w:pPr>
              <w:spacing w:after="0" w:line="240" w:lineRule="auto"/>
            </w:pPr>
            <w:r/>
            <w:r>
              <w:rPr>
                <w:sz w:val="19"/>
              </w:rPr>
              <w:t>Tolga / Türkre ekibi</w:t>
            </w:r>
          </w:p>
        </w:tc>
      </w:tr>
      <w:tr>
        <w:tc>
          <w:tcPr>
            <w:tcW w:type="dxa" w:w="567"/>
            <w:shd w:val="clear" w:color="auto" w:fill="F2F5FA"/>
          </w:tcPr>
          <w:p>
            <w:pPr>
              <w:spacing w:after="0" w:line="240" w:lineRule="auto"/>
            </w:pPr>
            <w:r/>
            <w:r>
              <w:rPr>
                <w:sz w:val="19"/>
              </w:rPr>
              <w:t>2</w:t>
            </w:r>
          </w:p>
        </w:tc>
        <w:tc>
          <w:tcPr>
            <w:tcW w:type="dxa" w:w="5953"/>
            <w:shd w:val="clear" w:color="auto" w:fill="F2F5FA"/>
          </w:tcPr>
          <w:p>
            <w:pPr>
              <w:spacing w:after="0" w:line="240" w:lineRule="auto"/>
            </w:pPr>
            <w:r/>
            <w:r>
              <w:rPr>
                <w:sz w:val="19"/>
              </w:rPr>
              <w:t>Gerekirse SEDDK'ya veya yönetime hitaben gözlemlerin birkaç paragrafta özetlenmesi; Pazartesi (26 Ekim 2026) tamamlanabileceği belirtilmiştir.</w:t>
            </w:r>
          </w:p>
        </w:tc>
        <w:tc>
          <w:tcPr>
            <w:tcW w:type="dxa" w:w="2551"/>
            <w:shd w:val="clear" w:color="auto" w:fill="F2F5FA"/>
          </w:tcPr>
          <w:p>
            <w:pPr>
              <w:spacing w:after="0" w:line="240" w:lineRule="auto"/>
            </w:pPr>
            <w:r/>
            <w:r>
              <w:rPr>
                <w:sz w:val="19"/>
              </w:rPr>
              <w:t>Modelleme ekibi</w:t>
            </w:r>
          </w:p>
        </w:tc>
      </w:tr>
      <w:tr>
        <w:tc>
          <w:tcPr>
            <w:tcW w:type="dxa" w:w="567"/>
            <w:shd w:val="clear" w:color="auto" w:fill="F2F5FA"/>
          </w:tcPr>
          <w:p>
            <w:pPr>
              <w:spacing w:after="0" w:line="240" w:lineRule="auto"/>
            </w:pPr>
            <w:r/>
            <w:r>
              <w:rPr>
                <w:sz w:val="19"/>
              </w:rPr>
              <w:t>3</w:t>
            </w:r>
          </w:p>
        </w:tc>
        <w:tc>
          <w:tcPr>
            <w:tcW w:type="dxa" w:w="5953"/>
            <w:shd w:val="clear" w:color="auto" w:fill="F2F5FA"/>
          </w:tcPr>
          <w:p>
            <w:pPr>
              <w:spacing w:after="0" w:line="240" w:lineRule="auto"/>
            </w:pPr>
            <w:r/>
            <w:r>
              <w:rPr>
                <w:sz w:val="19"/>
              </w:rPr>
              <w:t>Önümüzdeki dönemde 10–15 günde bir yürütülen çalışmaların özetlenmesi ve ortaya çıkan problemlerin birlikte incelenmesi önerilmiştir.</w:t>
            </w:r>
          </w:p>
        </w:tc>
        <w:tc>
          <w:tcPr>
            <w:tcW w:type="dxa" w:w="2551"/>
            <w:shd w:val="clear" w:color="auto" w:fill="F2F5FA"/>
          </w:tcPr>
          <w:p>
            <w:pPr>
              <w:spacing w:after="0" w:line="240" w:lineRule="auto"/>
            </w:pPr>
            <w:r/>
            <w:r>
              <w:rPr>
                <w:sz w:val="19"/>
              </w:rPr>
              <w:t>Modelleme ekibi</w:t>
            </w:r>
          </w:p>
        </w:tc>
      </w:tr>
      <w:tr>
        <w:tc>
          <w:tcPr>
            <w:tcW w:type="dxa" w:w="567"/>
            <w:shd w:val="clear" w:color="auto" w:fill="F2F5FA"/>
          </w:tcPr>
          <w:p>
            <w:pPr>
              <w:spacing w:after="0" w:line="240" w:lineRule="auto"/>
            </w:pPr>
            <w:r/>
            <w:r>
              <w:rPr>
                <w:sz w:val="19"/>
              </w:rPr>
              <w:t>4</w:t>
            </w:r>
          </w:p>
        </w:tc>
        <w:tc>
          <w:tcPr>
            <w:tcW w:type="dxa" w:w="5953"/>
            <w:shd w:val="clear" w:color="auto" w:fill="F2F5FA"/>
          </w:tcPr>
          <w:p>
            <w:pPr>
              <w:spacing w:after="0" w:line="240" w:lineRule="auto"/>
            </w:pPr>
            <w:r/>
            <w:r>
              <w:rPr>
                <w:sz w:val="19"/>
              </w:rPr>
              <w:t>Payout yapısının DASK kümülü için geçerliliğinin (yalnızca yapısal hasar) yeniden gözden geçirilmesi.</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5</w:t>
            </w:r>
          </w:p>
        </w:tc>
        <w:tc>
          <w:tcPr>
            <w:tcW w:type="dxa" w:w="5953"/>
            <w:shd w:val="clear" w:color="auto" w:fill="F2F5FA"/>
          </w:tcPr>
          <w:p>
            <w:pPr>
              <w:spacing w:after="0" w:line="240" w:lineRule="auto"/>
            </w:pPr>
            <w:r/>
            <w:r>
              <w:rPr>
                <w:sz w:val="19"/>
              </w:rPr>
              <w:t>Alternatif teklif versiyonlarının talep edilmesi görüşü değerlendirilecek.</w:t>
            </w:r>
          </w:p>
        </w:tc>
        <w:tc>
          <w:tcPr>
            <w:tcW w:type="dxa" w:w="2551"/>
            <w:shd w:val="clear" w:color="auto" w:fill="F2F5FA"/>
          </w:tcPr>
          <w:p>
            <w:pPr>
              <w:spacing w:after="0" w:line="240" w:lineRule="auto"/>
            </w:pPr>
            <w:r/>
            <w:r>
              <w:rPr>
                <w:sz w:val="19"/>
              </w:rPr>
              <w:t>Belirtilmedi</w:t>
            </w:r>
          </w:p>
        </w:tc>
      </w:tr>
    </w:tbl>
    <w:p>
      <w:pPr>
        <w:spacing w:after="40"/>
      </w:pPr>
    </w:p>
    <w:p>
      <w:pPr>
        <w:spacing w:before="240"/>
      </w:pPr>
      <w:r>
        <w:rPr>
          <w:i/>
          <w:color w:val="808080"/>
          <w:sz w:val="18"/>
        </w:rPr>
        <w:t>Not: Bu rapor, toplantı ses kaydının dökümünden düzenlenmiştir. Döküm yer yer anlaşılmaz olduğundan bazı cümleler bağlamdan yorumlanmıştır. Aşağıdaki ifadeler düzeltilmiştir: "Laktın/Locktonry" → Lockton, "peyat/PGR" → payout/PGA, "CDDK" → SEDDK, "ARMS/AR" → RMS/AIR, "Munihri" → Munich Re, "Ketmod" → katastrofik risk modeli. "Nurula/Nurullah/Nurgül" aynı kişi olarak, "YKM YK" Yönetim Kurulu olarak varsayılmıştır. Tarihsel olay tablosundaki tutarlar ve para birimleri dökümde net olmadığından rapora alınmamıştır. Toplantı tarihi dosya adından (23 Ekim 2026) alınmıştır.</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Parametrik Teminat Munich Re Sonrası — Toplantı Raporu</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Toplantı Raporu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