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Görüşme Özeti</w:t>
      </w:r>
    </w:p>
    <w:p>
      <w:pPr>
        <w:spacing w:after="40"/>
        <w:jc w:val="center"/>
      </w:pPr>
      <w:r>
        <w:rPr>
          <w:color w:val="2E5496"/>
          <w:sz w:val="25"/>
        </w:rPr>
        <w:t>Yapay zekâ destekli deprem modellemesi ve ortak proje olanakları üzerine akademik görüşme</w:t>
      </w:r>
    </w:p>
    <w:p>
      <w:pPr>
        <w:spacing w:after="240"/>
        <w:jc w:val="center"/>
        <w:pBdr>
          <w:bottom w:val="single" w:sz="6" w:space="6" w:color="C9A227"/>
        </w:pBdr>
      </w:pPr>
      <w:r>
        <w:rPr>
          <w:color w:val="808080"/>
          <w:sz w:val="18"/>
        </w:rPr>
        <w:t>26 Ağustos 2026  •  Süre: yaklaşık 48 dakika</w:t>
      </w:r>
    </w:p>
    <w:p>
      <w:pPr>
        <w:pStyle w:val="Heading1"/>
      </w:pPr>
      <w:r>
        <w:t>1. Görüşmenin Amacı ve Kapsamı</w:t>
      </w:r>
    </w:p>
    <w:p>
      <w:pPr>
        <w:jc w:val="both"/>
      </w:pPr>
      <w:r>
        <w:rPr/>
        <w:t>Görüşme, jeofizik alanında makine öğrenmesi modelleri geliştiren bir akademisyen ile sigorta/risk tarafında deprem modellemesi yapan bir ekip arasında, tanışma ve olası iş birliği zemini oluşturmak amacıyla yapılmıştır. Konuşma; geliştirilen modeller, sentetik veriyle eğitim, bir ders ve yarışma modeli, ters problem çözümü, belirsizlik tahmini ve ortak proje/finansman seçenekleri etrafında ilerlemiştir.</w:t>
      </w:r>
    </w:p>
    <w:p>
      <w:pPr>
        <w:pStyle w:val="Heading1"/>
      </w:pPr>
      <w:r>
        <w:t>2. Geliştirilen Modeller ve Eğitim Hattı</w:t>
      </w:r>
    </w:p>
    <w:p>
      <w:pPr>
        <w:jc w:val="both"/>
      </w:pPr>
      <w:r>
        <w:rPr/>
        <w:t>Akademisyen, ilişkilendirme (asosiyasyon) problemi için literatürden birkaç model aldıklarını, bunları eğitim sırasında değiştirerek geliştirdiklerini ve arka planda çalışan birden çok modelin ortalamasını alan topluluk (ensemble) yaklaşımlarının bulunduğunu aktarmıştır.</w:t>
      </w:r>
    </w:p>
    <w:p>
      <w:pPr>
        <w:pStyle w:val="ListBullet"/>
      </w:pPr>
      <w:r>
        <w:rPr/>
        <w:t>Jeofizikteki modeller genellikle sentetik dalga formlarıyla eğitilmektedir. Sentetik veri fazla “temiz” olduğu için model aşırı öğrenmeye (overfitting) yatkındır; gerçek veri ise gürültülüdür.</w:t>
      </w:r>
    </w:p>
    <w:p>
      <w:pPr>
        <w:pStyle w:val="ListBullet"/>
      </w:pPr>
      <w:r>
        <w:rPr/>
        <w:t>Çözüm olarak sentetik veriye gürültü eklenmektedir. Ancak gürültü rastgele eklenirse veri bozulur; bu yüzden gözlenen verinin dağılımı incelenmekte ve eklenen gürültü sentetik verinin dağılımını gözlenen veriye yaklaştıracak biçimde seçilmektedir.</w:t>
      </w:r>
    </w:p>
    <w:p>
      <w:pPr>
        <w:pStyle w:val="ListBullet"/>
      </w:pPr>
      <w:r>
        <w:rPr/>
        <w:t>Amaç, modelin çıkarım (inference) aşamasında eğitim dağılımına yakın örnekler görmesi ve dağılım dışı örneklerde anlamsız sonuç üretmemesidir. Örneğin belirli bir bölge için modelleme yapılacaksa, o bölgenin fiziksel parametrelerine yaklaşılır.</w:t>
      </w:r>
    </w:p>
    <w:p>
      <w:pPr>
        <w:pStyle w:val="ListBullet"/>
      </w:pPr>
      <w:r>
        <w:rPr/>
        <w:t>Hat şu adımlardan oluşmaktadır: veri indirme, sentetik veri üretimi, gürültü ekleme, model eğitimi, hiperparametre testleri ve benchmark veri kümeleriyle değerlendirme.</w:t>
      </w:r>
    </w:p>
    <w:p>
      <w:pPr>
        <w:pStyle w:val="ListBullet"/>
      </w:pPr>
      <w:r>
        <w:rPr/>
        <w:t>Bu yöntemlerin yalnızca jeofiziğe özgü olmadığı; finans ve sağlık gibi alanlarda da benzer biçimde uygulandığı belirtilmiştir.</w:t>
      </w:r>
    </w:p>
    <w:p>
      <w:pPr>
        <w:jc w:val="both"/>
      </w:pPr>
      <w:r>
        <w:rPr/>
        <w:t>Bu hattın deprem dışındaki alanlara ve sigorta tarafındaki hasar/risk çalışmalarına uyarlanabileceği; karşı tarafta uygun örnek (toy) veri kümeleri varsa üzerinde denenebileceği konuşulmuştur.</w:t>
      </w:r>
    </w:p>
    <w:p>
      <w:pPr>
        <w:pStyle w:val="Heading1"/>
      </w:pPr>
      <w:r>
        <w:t>3. Ders ve Yarışma Modeli (Kaggle Üzerinden)</w:t>
      </w:r>
    </w:p>
    <w:p>
      <w:pPr>
        <w:jc w:val="both"/>
      </w:pPr>
      <w:r>
        <w:rPr/>
        <w:t>Akademisyen, bu dönem açtığı dersi Kaggle platformundaki yarışmalar üzerinden yürüttüğünü anlatmıştır. Amaç, öğrencilerin ders bittikten sonra da kendi başlarına yarışmalara katılarak öğrenmeye devam etmesidir.</w:t>
      </w:r>
    </w:p>
    <w:p>
      <w:pPr>
        <w:pStyle w:val="ListBullet"/>
      </w:pPr>
      <w:r>
        <w:rPr/>
        <w:t>Dönem içinde altı yedi yarışma yapılmaktadır. Basit regresyon/sınıflandırma örneklerinin ardından fizik, finans ve sağlık gibi alana özgü problemler gelmektedir; geçen yıl sağlık alanı işlenmiştir.</w:t>
      </w:r>
    </w:p>
    <w:p>
      <w:pPr>
        <w:pStyle w:val="ListBullet"/>
      </w:pPr>
      <w:r>
        <w:rPr/>
        <w:t>Veri kümesini akademisyen vermekte, test verisini öğrencilerden saklamaktadır. Öğrenciler o haftanın konusuna (ör. transformer) göre mimari geliştirip modeli platformda eğitmekte ve test verisinde genellemeyi ölçmektedir.</w:t>
      </w:r>
    </w:p>
    <w:p>
      <w:pPr>
        <w:pStyle w:val="ListBullet"/>
      </w:pPr>
      <w:r>
        <w:rPr/>
        <w:t>Yarışmalar yalnızca model eğitimini değil, girdiden çıktıya tüm hattın çalışmasını gerektirmektedir. Öğrenciler hesaplama maliyeti ve GPU kullanımı konusunda da deneyim kazanmaktadır.</w:t>
      </w:r>
    </w:p>
    <w:p>
      <w:pPr>
        <w:pStyle w:val="ListBullet"/>
      </w:pPr>
      <w:r>
        <w:rPr/>
        <w:t>Ders matematik bölümünde seçmeli olarak açılmakta, farklı mühendislik bölümlerinden öğrenci almaktadır. Geçen dönem yaklaşık 70 kişi katılmış; yarışma ortamı için kalabalığın avantaj olduğu ve 120 kişiye kadar çıkılabileceği söylenmiştir.</w:t>
      </w:r>
    </w:p>
    <w:p>
      <w:pPr>
        <w:pStyle w:val="ListBullet"/>
      </w:pPr>
      <w:r>
        <w:rPr/>
        <w:t>Sağlık gibi alanlarda kişisel veriler (isim vb.) silinerek veri kümesi hazırlanmaktadır.</w:t>
      </w:r>
    </w:p>
    <w:p>
      <w:pPr>
        <w:jc w:val="both"/>
      </w:pPr>
      <w:r>
        <w:rPr/>
        <w:t>Akademisyen, bu yapının projelerde birlikte çalışılabilecek yetişmiş öğrenci havuzu oluşturduğunu belirtmiştir. Ekibindeki öğrencilerin bu derste modelleri iyi eğiten, not ortalaması farklı olsa bile deneyimli öğrenciler olduğunu; bazılarının lisansüstüne devam ettiğini, bazılarının doğrudan iş hayatına girdiğini aktarmıştır. Problemi yalnızca çözebilen değil, problemi tespit edip tanımlayabilen mezunların iş bulmada bir üst seviyede olduğu da vurgulanmıştır.</w:t>
      </w:r>
    </w:p>
    <w:p>
      <w:pPr>
        <w:pStyle w:val="Heading1"/>
      </w:pPr>
      <w:r>
        <w:t>4. Ters Problem Çözümü ve Fizik Temelli Yaklaşımlar</w:t>
      </w:r>
    </w:p>
    <w:p>
      <w:pPr>
        <w:jc w:val="both"/>
      </w:pPr>
      <w:r>
        <w:rPr/>
        <w:t>Akademisyen, jeofizik problemlerinin özünün model parametreleri ile veri arasındaki fiziksel ilişkiyi kullanarak parametreleri bulmak (ters problem) olduğunu anlatmıştır.</w:t>
      </w:r>
    </w:p>
    <w:p>
      <w:pPr>
        <w:pStyle w:val="ListBullet"/>
      </w:pPr>
      <w:r>
        <w:rPr/>
        <w:t>Model parametreleri (ör. depremin geometrisi, kırılma açısı, fayın yönü, zamanı) ile gözlenen veri arasındaki ilişki fizikle kurulmakta; sayısal yöntemlerle sentetik veri üretilebilmektedir.</w:t>
      </w:r>
    </w:p>
    <w:p>
      <w:pPr>
        <w:pStyle w:val="ListBullet"/>
      </w:pPr>
      <w:r>
        <w:rPr/>
        <w:t>Anlatılan yaklaşımlardan biri, sayısal yöntemin girdi–çıktı ilişkisini bir sinir ağına öğretmek, sonra ağın parametrelerini sabitleyip (freeze) girdi parametrelerini gradyan ile güncelleyerek ağı ters problem çözücüsüne dönüştürmektir. Bunun otomatik türev alma ve GPU üzerinde paralel hesaplama sayesinde sayısal yöntemlere göre hem hassas hem hızlı olduğu belirtilmiştir.</w:t>
      </w:r>
    </w:p>
    <w:p>
      <w:pPr>
        <w:pStyle w:val="ListBullet"/>
      </w:pPr>
      <w:r>
        <w:rPr/>
        <w:t>Bunun dışında başka yaklaşımların da bulunduğu ve hangisinin daha iyi olduğunun bilinmediği belirtilmiştir.</w:t>
      </w:r>
    </w:p>
    <w:p>
      <w:pPr>
        <w:pStyle w:val="ListBullet"/>
      </w:pPr>
      <w:r>
        <w:rPr/>
        <w:t>Akademisyenin görüşüne göre bu modeller üç ila beş yıl içinde konum belirleme ve ters çözüm gibi işlerde sayısal yöntemlerin yerini alacaktır; sigorta tarafında da bunların dışarıdan satın alınması yerine yerli olarak geliştirilmesi ve bu konuda öğrenci yetiştirilmesi önerilmiştir.</w:t>
      </w:r>
    </w:p>
    <w:p>
      <w:pPr>
        <w:pStyle w:val="Heading1"/>
      </w:pPr>
      <w:r>
        <w:t>5. Karşı Taraftaki Deprem Modelleme Çalışması</w:t>
      </w:r>
    </w:p>
    <w:p>
      <w:pPr>
        <w:jc w:val="both"/>
      </w:pPr>
      <w:r>
        <w:rPr/>
        <w:t>Sigorta/risk tarafında yürütülen çalışma kısaca anlatılmıştır:</w:t>
      </w:r>
    </w:p>
    <w:p>
      <w:pPr>
        <w:pStyle w:val="ListBullet"/>
      </w:pPr>
      <w:r>
        <w:rPr/>
        <w:t>Türkiye’deki geçmiş depremler derlenmiş, deprem kümelemesi yapılmış ve her kaynak için büyüklük–sıklık dağılımı oturtulmuştur.</w:t>
      </w:r>
    </w:p>
    <w:p>
      <w:pPr>
        <w:pStyle w:val="ListBullet"/>
      </w:pPr>
      <w:r>
        <w:rPr/>
        <w:t>Her kaynak için yaklaşık 10.000 yıllık simülasyon yapılarak her büyüklükte kaç deprem oluşacağı üretilmekte; ardından bina sınıfları üzerinden hasar/risk testleri yapılmaktadır.</w:t>
      </w:r>
    </w:p>
    <w:p>
      <w:pPr>
        <w:pStyle w:val="ListBullet"/>
      </w:pPr>
      <w:r>
        <w:rPr/>
        <w:t>Tektonik levha hareketi (yılda yaklaşık 1 cm) ve kayma hızları gibi fiziksel girdiler kullanılmakta, ancak sürtünme ve kırılma zamanı gibi pek çok parametre bilinmemektedir.</w:t>
      </w:r>
    </w:p>
    <w:p>
      <w:pPr>
        <w:pStyle w:val="ListBullet"/>
      </w:pPr>
      <w:r>
        <w:rPr/>
        <w:t>Bu çalışmanın bir proje olarak yazıldığı ancak şu an beklemede olduğu belirtilmiştir.</w:t>
      </w:r>
    </w:p>
    <w:p>
      <w:pPr>
        <w:pStyle w:val="Heading1"/>
      </w:pPr>
      <w:r>
        <w:t>6. Belirsizlik ve Olasılıksal Modeller</w:t>
      </w:r>
    </w:p>
    <w:p>
      <w:pPr>
        <w:jc w:val="both"/>
      </w:pPr>
      <w:r>
        <w:rPr/>
        <w:t>Konuşmanın önemli bir bölümü belirsizlik (varyans) tahminine ayrılmıştır.</w:t>
      </w:r>
    </w:p>
    <w:p>
      <w:pPr>
        <w:pStyle w:val="ListBullet"/>
      </w:pPr>
      <w:r>
        <w:rPr/>
        <w:t>Deprem konumlandırma gibi problemlerde hem yer altı modeli hem depremin yeri bilinmediğinden problem iyi tanımlı değildir (ill-posed); belirsizlik ortadan kaldırılamaz, önemli olan belirsizliği modele dahil edebilmek ve çıktının ne kadar belirsiz olduğunu bilmektir.</w:t>
      </w:r>
    </w:p>
    <w:p>
      <w:pPr>
        <w:pStyle w:val="ListBullet"/>
      </w:pPr>
      <w:r>
        <w:rPr/>
        <w:t>Sigorta tarafında hasar dağılımları genelde log-normal veya beta ile temsil edilmektedir; yapay zekâ ile varyansın nasıl alınacağı sorulmuştur.</w:t>
      </w:r>
    </w:p>
    <w:p>
      <w:pPr>
        <w:pStyle w:val="ListBullet"/>
      </w:pPr>
      <w:r>
        <w:rPr/>
        <w:t>Akademisyen, modellerin yalnızca nokta tahmini değil dağılım (ortalama ve varyans) öğrenebileceğini, bunun için kayıp fonksiyonunun verinin dağılımına göre (olabilirlik/PDF tabanlı) tanımlanması gerektiğini, bu konunun yeterince öğretilmediğini ve önümüzdeki yıllarda önem kazanacağını söylemiştir. Dersinde bu konuyu da işlediğini belirtmiştir.</w:t>
      </w:r>
    </w:p>
    <w:p>
      <w:pPr>
        <w:pStyle w:val="ListBullet"/>
      </w:pPr>
      <w:r>
        <w:rPr/>
        <w:t>Bu konuda 2024’te çıkan bir kitap önerilmiştir (yazar adı kayıtta “Simon Prince” biçiminde geçmektedir).</w:t>
      </w:r>
    </w:p>
    <w:p>
      <w:pPr>
        <w:pStyle w:val="Heading1"/>
      </w:pPr>
      <w:r>
        <w:t>7. Proje ve Finansman Seçenekleri</w:t>
      </w:r>
    </w:p>
    <w:p>
      <w:pPr>
        <w:pStyle w:val="ListBullet"/>
      </w:pPr>
      <w:r>
        <w:rPr/>
        <w:t>Ortak çalışma için yarışma tabanlı bir proje fikri üzerinde düşünülmüş; karşı tarafın uygun bir problem ve paylaşılabilir bir veri kümesi belirlemesi istenmiştir.</w:t>
      </w:r>
    </w:p>
    <w:p>
      <w:pPr>
        <w:pStyle w:val="ListBullet"/>
      </w:pPr>
      <w:r>
        <w:rPr/>
        <w:t>Kamu destekli projelerin (TÜBİTAK gibi) evrak yükü ve süreç uzunluğu nedeniyle yavaş olduğu, ret olasılığının bulunduğu ve daha hızlı ilerlemek için şirket üzerinden Ar-Ge projesi yapılmasının daha uygun olabileceği konuşulmuştur.</w:t>
      </w:r>
    </w:p>
    <w:p>
      <w:pPr>
        <w:pStyle w:val="ListBullet"/>
      </w:pPr>
      <w:r>
        <w:rPr/>
        <w:t>Akademisyen, daha önce Google ile yürüttüğü projede girişin zor, ancak girildikten sonra devam etmenin kolay olduğunu; bazı başvurularının ise reddedildiğini aktarmıştır.</w:t>
      </w:r>
    </w:p>
    <w:p>
      <w:pPr>
        <w:pStyle w:val="ListBullet"/>
      </w:pPr>
      <w:r>
        <w:rPr/>
        <w:t>Şirket tarafında yönetimle görüşülerek şirketin ihtiyaçları doğrultusunda küçük bir projeye başlanabileceği ve öğrencilerin de bu projeye dahil edilebileceği düşünülmüştür.</w:t>
      </w:r>
    </w:p>
    <w:p>
      <w:pPr>
        <w:pStyle w:val="ListBullet"/>
      </w:pPr>
      <w:r>
        <w:rPr/>
        <w:t>Bir yapay zekâ enstitüsü ve oradaki akademisyenler anılmış; resmî bağlantı (affiliation) için koşulların yerine getirilememesi nedeniyle bu konu şimdilik ertelenmiştir.</w:t>
      </w:r>
    </w:p>
    <w:p>
      <w:pPr>
        <w:pStyle w:val="Heading1"/>
      </w:pPr>
      <w:r>
        <w:t>8. Difüzyon Modeli Projesi</w:t>
      </w:r>
    </w:p>
    <w:p>
      <w:pPr>
        <w:jc w:val="both"/>
      </w:pPr>
      <w:r>
        <w:rPr/>
        <w:t>Akademisyen, dalga formu üretimi için geliştirdikleri bir difüzyon modeli projesinden söz etmiştir. Model şu an veri tabanlıdır; fizik temelli hale getirilerek yükseltilmesi planlanmaktadır.</w:t>
      </w:r>
    </w:p>
    <w:p>
      <w:pPr>
        <w:pStyle w:val="ListBullet"/>
      </w:pPr>
      <w:r>
        <w:rPr/>
        <w:t>Difüzyon modelleri veri dağılımını öğrenip o dağılımdan örnek çekerek üretim yapmaktadır; dalga formu üretilebilirse genlik spektrumu gibi büyüklüklere de ulaşılabilmektedir.</w:t>
      </w:r>
    </w:p>
    <w:p>
      <w:pPr>
        <w:pStyle w:val="ListBullet"/>
      </w:pPr>
      <w:r>
        <w:rPr/>
        <w:t>Akademisyen difüzyonu, ters çözümün yerini alabilecek bir yaklaşım olarak değerlendirmiş ve karşı tarafın bunu öğrenip uygulamasının faydalı olacağını söylemiştir.</w:t>
      </w:r>
    </w:p>
    <w:p>
      <w:pPr>
        <w:pStyle w:val="ListBullet"/>
      </w:pPr>
      <w:r>
        <w:rPr/>
        <w:t>Bulut platformu üzerinden çalışıldığı için hesaplama sorunu beklenmediği; ancak bir model eğitiminin yaklaşık 25–30 dolar tuttuğu ve çok sayıda eğitim yapıldığı için maliyetin önemli olduğu belirtilmiştir.</w:t>
      </w:r>
    </w:p>
    <w:p>
      <w:pPr>
        <w:pStyle w:val="Heading1"/>
      </w:pPr>
      <w:r>
        <w:t>9. Kararlaştırılan Sonraki Adımlar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3024"/>
        <w:gridCol w:w="3024"/>
        <w:gridCol w:w="3024"/>
      </w:tblGrid>
      <w:tr>
        <w:trPr>
          <w:tblHeader w:val="true"/>
        </w:trPr>
        <w:tc>
          <w:tcPr>
            <w:tcW w:type="dxa" w:w="567"/>
            <w:shd w:val="clear" w:color="auto" w:fill="1F3864"/>
          </w:tcPr>
          <w:p>
            <w:pPr>
              <w:spacing w:after="0" w:line="240" w:lineRule="auto"/>
            </w:pPr>
            <w:r/>
            <w:r>
              <w:rPr>
                <w:b/>
                <w:color w:val="FFFFFF"/>
                <w:sz w:val="19"/>
              </w:rPr>
              <w:t>#</w:t>
            </w:r>
          </w:p>
        </w:tc>
        <w:tc>
          <w:tcPr>
            <w:tcW w:type="dxa" w:w="5953"/>
            <w:shd w:val="clear" w:color="auto" w:fill="1F3864"/>
          </w:tcPr>
          <w:p>
            <w:pPr>
              <w:spacing w:after="0" w:line="240" w:lineRule="auto"/>
            </w:pPr>
            <w:r/>
            <w:r>
              <w:rPr>
                <w:b/>
                <w:color w:val="FFFFFF"/>
                <w:sz w:val="19"/>
              </w:rPr>
              <w:t>Aksiyon</w:t>
            </w:r>
          </w:p>
        </w:tc>
        <w:tc>
          <w:tcPr>
            <w:tcW w:type="dxa" w:w="2551"/>
            <w:shd w:val="clear" w:color="auto" w:fill="1F3864"/>
          </w:tcPr>
          <w:p>
            <w:pPr>
              <w:spacing w:after="0" w:line="240" w:lineRule="auto"/>
            </w:pPr>
            <w:r/>
            <w:r>
              <w:rPr>
                <w:b/>
                <w:color w:val="FFFFFF"/>
                <w:sz w:val="19"/>
              </w:rPr>
              <w:t>Sorumlu</w:t>
            </w:r>
          </w:p>
        </w:tc>
      </w:tr>
      <w:tr>
        <w:tc>
          <w:tcPr>
            <w:tcW w:type="dxa" w:w="567"/>
            <w:shd w:val="clear" w:color="auto" w:fill="F2F5FA"/>
          </w:tcPr>
          <w:p>
            <w:pPr>
              <w:spacing w:after="0" w:line="240" w:lineRule="auto"/>
            </w:pPr>
            <w:r/>
            <w:r>
              <w:rPr>
                <w:sz w:val="19"/>
              </w:rPr>
              <w:t>1</w:t>
            </w:r>
          </w:p>
        </w:tc>
        <w:tc>
          <w:tcPr>
            <w:tcW w:type="dxa" w:w="5953"/>
            <w:shd w:val="clear" w:color="auto" w:fill="F2F5FA"/>
          </w:tcPr>
          <w:p>
            <w:pPr>
              <w:spacing w:after="0" w:line="240" w:lineRule="auto"/>
            </w:pPr>
            <w:r/>
            <w:r>
              <w:rPr>
                <w:sz w:val="19"/>
              </w:rPr>
              <w:t>Yarışma/proje için uygun bir problem ve paylaşılabilir veri kümesi üzerinde düşünülmesi</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2</w:t>
            </w:r>
          </w:p>
        </w:tc>
        <w:tc>
          <w:tcPr>
            <w:tcW w:type="dxa" w:w="5953"/>
            <w:shd w:val="clear" w:color="auto" w:fill="F2F5FA"/>
          </w:tcPr>
          <w:p>
            <w:pPr>
              <w:spacing w:after="0" w:line="240" w:lineRule="auto"/>
            </w:pPr>
            <w:r/>
            <w:r>
              <w:rPr>
                <w:sz w:val="19"/>
              </w:rPr>
              <w:t>Geliştirilen modellerden bazılarının karşı tarafa gönderilmesi</w:t>
            </w:r>
          </w:p>
        </w:tc>
        <w:tc>
          <w:tcPr>
            <w:tcW w:type="dxa" w:w="2551"/>
            <w:shd w:val="clear" w:color="auto" w:fill="F2F5FA"/>
          </w:tcPr>
          <w:p>
            <w:pPr>
              <w:spacing w:after="0" w:line="240" w:lineRule="auto"/>
            </w:pPr>
            <w:r/>
            <w:r>
              <w:rPr>
                <w:sz w:val="19"/>
              </w:rPr>
              <w:t>Akademisyen</w:t>
            </w:r>
          </w:p>
        </w:tc>
      </w:tr>
      <w:tr>
        <w:tc>
          <w:tcPr>
            <w:tcW w:type="dxa" w:w="567"/>
            <w:shd w:val="clear" w:color="auto" w:fill="F2F5FA"/>
          </w:tcPr>
          <w:p>
            <w:pPr>
              <w:spacing w:after="0" w:line="240" w:lineRule="auto"/>
            </w:pPr>
            <w:r/>
            <w:r>
              <w:rPr>
                <w:sz w:val="19"/>
              </w:rPr>
              <w:t>3</w:t>
            </w:r>
          </w:p>
        </w:tc>
        <w:tc>
          <w:tcPr>
            <w:tcW w:type="dxa" w:w="5953"/>
            <w:shd w:val="clear" w:color="auto" w:fill="F2F5FA"/>
          </w:tcPr>
          <w:p>
            <w:pPr>
              <w:spacing w:after="0" w:line="240" w:lineRule="auto"/>
            </w:pPr>
            <w:r/>
            <w:r>
              <w:rPr>
                <w:sz w:val="19"/>
              </w:rPr>
              <w:t>Akademisyenin konferanstaki oturumuna katılımın ayarlanması; oturum saatinin iletilmesi (kayıtta saat net değil)</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4</w:t>
            </w:r>
          </w:p>
        </w:tc>
        <w:tc>
          <w:tcPr>
            <w:tcW w:type="dxa" w:w="5953"/>
            <w:shd w:val="clear" w:color="auto" w:fill="F2F5FA"/>
          </w:tcPr>
          <w:p>
            <w:pPr>
              <w:spacing w:after="0" w:line="240" w:lineRule="auto"/>
            </w:pPr>
            <w:r/>
            <w:r>
              <w:rPr>
                <w:sz w:val="19"/>
              </w:rPr>
              <w:t>Şirket yönetimiyle olası küçük bir Ar-Ge projesinin konuşulması</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5</w:t>
            </w:r>
          </w:p>
        </w:tc>
        <w:tc>
          <w:tcPr>
            <w:tcW w:type="dxa" w:w="5953"/>
            <w:shd w:val="clear" w:color="auto" w:fill="F2F5FA"/>
          </w:tcPr>
          <w:p>
            <w:pPr>
              <w:spacing w:after="0" w:line="240" w:lineRule="auto"/>
            </w:pPr>
            <w:r/>
            <w:r>
              <w:rPr>
                <w:sz w:val="19"/>
              </w:rPr>
              <w:t>Difüzyon projesinin gösterilmesi ve konunun sonraki görüşmede ele alınması</w:t>
            </w:r>
          </w:p>
        </w:tc>
        <w:tc>
          <w:tcPr>
            <w:tcW w:type="dxa" w:w="2551"/>
            <w:shd w:val="clear" w:color="auto" w:fill="F2F5FA"/>
          </w:tcPr>
          <w:p>
            <w:pPr>
              <w:spacing w:after="0" w:line="240" w:lineRule="auto"/>
            </w:pPr>
            <w:r/>
            <w:r>
              <w:rPr>
                <w:sz w:val="19"/>
              </w:rPr>
              <w:t>Akademisyen</w:t>
            </w:r>
          </w:p>
        </w:tc>
      </w:tr>
    </w:tbl>
    <w:p>
      <w:pPr>
        <w:spacing w:after="40"/>
      </w:pPr>
    </w:p>
    <w:p>
      <w:pPr>
        <w:pStyle w:val="Heading1"/>
      </w:pPr>
      <w:r>
        <w:t>10. Genel Değerlendirme</w:t>
      </w:r>
    </w:p>
    <w:p>
      <w:pPr>
        <w:jc w:val="both"/>
      </w:pPr>
      <w:r>
        <w:rPr/>
        <w:t>Görüşme olumlu geçmiş, iki taraf da iş birliğine istekli olduğunu belirtmiştir. Öne çıkan başlıklar; sentetik veriye gerçeğe yakın gürültü eklenmesi, yarışma temelli ders modeli, fizik temelli ve difüzyon tabanlı yaklaşımlar ve belirsizliğin modele dahil edilmesidir. Somut proje kapsamı, veri kümesi ve finansman yolu henüz netleşmemiş olup sonraki görüşmelere bırakılmıştır.</w:t>
      </w:r>
    </w:p>
    <w:p>
      <w:pPr>
        <w:spacing w:before="240"/>
      </w:pPr>
      <w:r>
        <w:rPr>
          <w:i/>
          <w:color w:val="808080"/>
          <w:sz w:val="18"/>
        </w:rPr>
        <w:t>Not: Bu rapor, görüşme ses kaydının dökümünden düzenlenmiştir. Döküm makine üretimidir ve konuşmacıları ayırt etmediği için görüşler “akademisyen” ve “karşı taraf” olarak bağlamdan çıkarılmıştır; bazı atıflar kesin değildir. Bariz ses tanıma hataları düzeltilmiştir (ör. “Kegel” → Kaggle, “ansamlılık” → ensemble, “Veyform” → waveform, “jevizlik” → jeofizik). Kayıtta anlaşılamayan bölümler (konferans adı/tarihi/saati, bazı kişi adları) rapora eklenmemiştir. Tarih dosya adından alınmıştır (260826 → 26 Ağustos 2026).</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Görüşme Özeti — Yapay Zekâ ve Deprem Modellemesi</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Görüşme Özeti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