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GÖRÜŞME ÖZETİ</w:t>
      </w:r>
    </w:p>
    <w:p>
      <w:pPr>
        <w:pStyle w:val="SubtitleCustom"/>
        <w:jc w:val="center"/>
      </w:pPr>
      <w:r>
        <w:t>Emin Yahya ile gerçekleştirilen platform değerlendirme görüşmesi</w:t>
      </w:r>
    </w:p>
    <w:p>
      <w:pPr>
        <w:spacing w:after="160"/>
        <w:pBdr>
          <w:bottom w:val="single" w:sz="8" w:space="1" w:color="2F5597"/>
        </w:pBdr>
      </w:pPr>
    </w:p>
    <w:p>
      <w:pPr>
        <w:pStyle w:val="Heading1"/>
        <w:keepNext/>
      </w:pPr>
      <w:r>
        <w:t>1. Görüşmenin Amacı ve Kapsamı</w:t>
      </w:r>
    </w:p>
    <w:p>
      <w:r>
        <w:rPr>
          <w:b w:val="0"/>
        </w:rPr>
        <w:t xml:space="preserve">Görüşmede, </w:t>
      </w:r>
      <w:r>
        <w:rPr>
          <w:b/>
        </w:rPr>
        <w:t>bina ve portföy ölçeğinde deprem, heyelan ve su baskını tehlikelerini değerlendiren web tabanlı platform</w:t>
      </w:r>
      <w:r>
        <w:t xml:space="preserve"> tanıtılmış; sistemin metodolojisi, veri kaynakları, kullanıcı arayüzü, sonuçların sunumu ve olası kullanım alanları teknik açıdan değerlendirilmiştir. Platformun kesin mühendislik analizi yerine karar destek, ön tarama ve önceliklendirme amacı taşıdığı vurgulanmıştır.</w:t>
      </w:r>
    </w:p>
    <w:p>
      <w:pPr>
        <w:pStyle w:val="Heading1"/>
        <w:keepNext/>
      </w:pPr>
      <w:r>
        <w:t>2. Platformun Yapısı ve Kullanım Alanları</w:t>
      </w:r>
    </w:p>
    <w:p>
      <w:r>
        <w:t>Platform iki temel analiz modülünden oluşmaktadır:</w:t>
      </w:r>
    </w:p>
    <w:p>
      <w:pPr>
        <w:pStyle w:val="ListBullet"/>
        <w:spacing w:after="60"/>
      </w:pPr>
      <w:r>
        <w:t>Tekil yapı ön değerlendirmesi</w:t>
      </w:r>
    </w:p>
    <w:p>
      <w:pPr>
        <w:pStyle w:val="ListBullet"/>
        <w:spacing w:after="60"/>
      </w:pPr>
      <w:r>
        <w:t>Bina portföyü analizi</w:t>
      </w:r>
    </w:p>
    <w:p>
      <w:r>
        <w:t>Hedeflenen başlıca kullanıcı grupları şunlardır:</w:t>
      </w:r>
    </w:p>
    <w:p>
      <w:pPr>
        <w:pStyle w:val="ListBullet"/>
        <w:spacing w:after="60"/>
      </w:pPr>
      <w:r>
        <w:t>Ev satın almak veya kiralamak isteyen vatandaşlar</w:t>
      </w:r>
    </w:p>
    <w:p>
      <w:pPr>
        <w:pStyle w:val="ListBullet"/>
        <w:spacing w:after="60"/>
      </w:pPr>
      <w:r>
        <w:t>Gayrimenkul değerleme şirketleri</w:t>
      </w:r>
    </w:p>
    <w:p>
      <w:pPr>
        <w:pStyle w:val="ListBullet"/>
        <w:spacing w:after="60"/>
      </w:pPr>
      <w:r>
        <w:t>Banka ve şirketler gibi kurumsal portföy sahipleri</w:t>
      </w:r>
    </w:p>
    <w:p>
      <w:pPr>
        <w:pStyle w:val="ListBullet"/>
        <w:spacing w:after="60"/>
      </w:pPr>
      <w:r>
        <w:t>Sigorta ve finans kuruluşları</w:t>
      </w:r>
    </w:p>
    <w:p>
      <w:pPr>
        <w:pStyle w:val="ListBullet"/>
        <w:spacing w:after="60"/>
      </w:pPr>
      <w:r>
        <w:t>Çok sayıda bina arasından öncelikli inceleme yapılacak yapıları belirlemek isteyen kurumlar</w:t>
      </w:r>
    </w:p>
    <w:p>
      <w:r>
        <w:rPr>
          <w:b w:val="0"/>
        </w:rPr>
        <w:t xml:space="preserve">Ürünün en uygun konumlandırması, </w:t>
      </w:r>
      <w:r>
        <w:rPr>
          <w:b/>
        </w:rPr>
        <w:t>kesin risk analizi veya sigorta fiyatlama modeli</w:t>
      </w:r>
      <w:r>
        <w:t xml:space="preserve"> olmaktan ziyade, yapıların göreli durumunu karşılaştıran ve daha ayrıntılı inceleme gerektiren noktaları belirleyen bir </w:t>
      </w:r>
      <w:r>
        <w:rPr>
          <w:b/>
        </w:rPr>
        <w:t>risk tarama ve önceliklendirme platformu</w:t>
      </w:r>
      <w:r>
        <w:t xml:space="preserve"> olarak değerlendirilmiştir.</w:t>
      </w:r>
    </w:p>
    <w:p>
      <w:pPr>
        <w:pStyle w:val="Heading1"/>
        <w:keepNext/>
      </w:pPr>
      <w:r>
        <w:t>3. Kullanılan Tehlike Verileri</w:t>
      </w:r>
    </w:p>
    <w:p>
      <w:pPr>
        <w:pStyle w:val="ListBullet"/>
        <w:spacing w:after="60"/>
      </w:pPr>
      <w:r>
        <w:t>Deprem: EFEHR kaynaklı, yaklaşık 476 yıllık dönüş periyoduna karşılık gelen PGA değerleri kullanılmaktadır.</w:t>
      </w:r>
    </w:p>
    <w:p>
      <w:pPr>
        <w:pStyle w:val="ListBullet"/>
        <w:spacing w:after="60"/>
      </w:pPr>
      <w:r>
        <w:t>Heyelan: Küresel heyelan duyarlılık verileri kullanılmaktadır.</w:t>
      </w:r>
    </w:p>
    <w:p>
      <w:pPr>
        <w:pStyle w:val="ListBullet"/>
        <w:spacing w:after="60"/>
      </w:pPr>
      <w:r>
        <w:t>Su baskını: Belirli dönüş periyotlarına ait taşkın derinliği verileri kullanılmaktadır.</w:t>
      </w:r>
    </w:p>
    <w:p>
      <w:r>
        <w:t>Verilerin açık kaynaklardan alınarak Türkiye için düzenlendiği; ancak özellikle heyelan, su baskını ve jeoloji verilerinde çözünürlük ve belirsizliklerin bulunduğu belirtilmiştir. Bu nedenle platformda veri kaynakları, belirsizlikler ve kullanım sınırlarının açıkça dokümante edilmesi olumlu bulunmuştur.</w:t>
      </w:r>
    </w:p>
    <w:p>
      <w:pPr>
        <w:pStyle w:val="Heading1"/>
        <w:keepNext/>
      </w:pPr>
      <w:r>
        <w:t>4. Tekil Yapı Ön Değerlendirmesi</w:t>
      </w:r>
    </w:p>
    <w:p>
      <w:r>
        <w:t>Kullanıcı, harita üzerinden bir nokta seçebilmekte veya koordinat girebilmektedir. Ardından bina özelliklerine ilişkin yaklaşık 20 parametre sisteme girilmektedir.</w:t>
      </w:r>
    </w:p>
    <w:p>
      <w:pPr>
        <w:pStyle w:val="Heading2"/>
        <w:keepNext/>
      </w:pPr>
      <w:r>
        <w:t>Kırılganlık modelinin seçilmesinde kullanılan temel parametreler</w:t>
      </w:r>
    </w:p>
    <w:p>
      <w:pPr>
        <w:pStyle w:val="ListBullet"/>
        <w:spacing w:after="60"/>
      </w:pPr>
      <w:r>
        <w:t>Yapım yılı</w:t>
      </w:r>
    </w:p>
    <w:p>
      <w:pPr>
        <w:pStyle w:val="ListBullet"/>
        <w:spacing w:after="60"/>
      </w:pPr>
      <w:r>
        <w:t>Taşıyıcı sistem veya yapı tipi</w:t>
      </w:r>
    </w:p>
    <w:p>
      <w:pPr>
        <w:pStyle w:val="ListBullet"/>
        <w:spacing w:after="60"/>
      </w:pPr>
      <w:r>
        <w:t>Kat sayısı / yükseklik sınıfı</w:t>
      </w:r>
    </w:p>
    <w:p>
      <w:pPr>
        <w:pStyle w:val="Heading2"/>
        <w:keepNext/>
      </w:pPr>
      <w:r>
        <w:t>Kırılganlık veya risk skorunu değiştiren yardımcı parametreler</w:t>
      </w:r>
    </w:p>
    <w:p>
      <w:pPr>
        <w:pStyle w:val="ListBullet"/>
        <w:spacing w:after="60"/>
      </w:pPr>
      <w:r>
        <w:t>Mühendislik hizmeti alıp almaması</w:t>
      </w:r>
    </w:p>
    <w:p>
      <w:pPr>
        <w:pStyle w:val="ListBullet"/>
        <w:spacing w:after="60"/>
      </w:pPr>
      <w:r>
        <w:t>Yumuşak kat, çıkma ve geometrik düzensizlikler</w:t>
      </w:r>
    </w:p>
    <w:p>
      <w:pPr>
        <w:pStyle w:val="ListBullet"/>
        <w:spacing w:after="60"/>
      </w:pPr>
      <w:r>
        <w:t>Ayrık veya bitişik nizam</w:t>
      </w:r>
    </w:p>
    <w:p>
      <w:pPr>
        <w:pStyle w:val="ListBullet"/>
        <w:spacing w:after="60"/>
      </w:pPr>
      <w:r>
        <w:t>Bakım durumu</w:t>
      </w:r>
    </w:p>
    <w:p>
      <w:pPr>
        <w:pStyle w:val="ListBullet"/>
        <w:spacing w:after="60"/>
      </w:pPr>
      <w:r>
        <w:t>Zemin veya jeoloji bilgisi</w:t>
      </w:r>
    </w:p>
    <w:p>
      <w:pPr>
        <w:pStyle w:val="ListBullet"/>
        <w:spacing w:after="60"/>
      </w:pPr>
      <w:r>
        <w:t>Bodrum ve giriş kat kullanım durumu</w:t>
      </w:r>
    </w:p>
    <w:p>
      <w:pPr>
        <w:pStyle w:val="ListBullet"/>
        <w:spacing w:after="60"/>
      </w:pPr>
      <w:r>
        <w:t>Eğimli arazi, istinat duvarı ve fore kazık gibi heyelanla ilişkili bilgiler</w:t>
      </w:r>
    </w:p>
    <w:p>
      <w:pPr>
        <w:pStyle w:val="ListBullet"/>
        <w:spacing w:after="60"/>
      </w:pPr>
      <w:r>
        <w:t>Çatlak, oturma, çökme veya kayma gözlemleri</w:t>
      </w:r>
    </w:p>
    <w:p>
      <w:r>
        <w:t>Bazı bilgiler bilinmiyorsa kullanıcı “bilinmiyor” seçeneğini işaretleyebilmektedir. Bu durumda sistem daha temkinli bir yaklaşım benimsemekte ve sonuçla birlikte sunulan veri güven skoru düşmektedir.</w:t>
      </w:r>
    </w:p>
    <w:p>
      <w:pPr>
        <w:pStyle w:val="Heading1"/>
        <w:keepNext/>
      </w:pPr>
      <w:r>
        <w:t>5. Sonuçların Hesaplanması ve Sunulması</w:t>
      </w:r>
    </w:p>
    <w:p>
      <w:r>
        <w:t>Deprem değerlendirmesinde farklı hasar durumlarının olasılıkları hesaplanmakta; özellikle orta ve üzeri hasar durumları ağırlıklandırılarak 0–100 arasında bir skor oluşturulmaktadır. Sonuçlar kullanıcıya hafif, orta, yüksek ve çok yüksek gibi kategorilerle sunulmaktadır.</w:t>
      </w:r>
    </w:p>
    <w:p>
      <w:r>
        <w:t>Platform ayrıca:</w:t>
      </w:r>
    </w:p>
    <w:p>
      <w:pPr>
        <w:pStyle w:val="ListBullet"/>
        <w:spacing w:after="60"/>
      </w:pPr>
      <w:r>
        <w:t>Sonucun hangi bina özelliklerinden kaynaklandığını açıklar.</w:t>
      </w:r>
    </w:p>
    <w:p>
      <w:pPr>
        <w:pStyle w:val="ListBullet"/>
        <w:spacing w:after="60"/>
      </w:pPr>
      <w:r>
        <w:t>Girilen temel bina bilgilerini özetler.</w:t>
      </w:r>
    </w:p>
    <w:p>
      <w:pPr>
        <w:pStyle w:val="ListBullet"/>
        <w:spacing w:after="60"/>
      </w:pPr>
      <w:r>
        <w:t>Genel aksiyon önerileri üretir.</w:t>
      </w:r>
    </w:p>
    <w:p>
      <w:pPr>
        <w:pStyle w:val="ListBullet"/>
        <w:spacing w:after="60"/>
      </w:pPr>
      <w:r>
        <w:t>Veri güvenini ve bilinmeyen parametre sayısını gösterir.</w:t>
      </w:r>
    </w:p>
    <w:p>
      <w:pPr>
        <w:pStyle w:val="ListBullet"/>
        <w:spacing w:after="60"/>
      </w:pPr>
      <w:r>
        <w:t>Analizleri kullanıcı hesabında ve harita üzerinde saklar.</w:t>
      </w:r>
    </w:p>
    <w:p>
      <w:pPr>
        <w:pStyle w:val="ListBullet"/>
        <w:spacing w:after="60"/>
      </w:pPr>
      <w:r>
        <w:t>Sonuçların PDF olarak indirilmesine imkân verir.</w:t>
      </w:r>
    </w:p>
    <w:p>
      <w:r>
        <w:t>Önerilen aksiyonlar arasında detaylı mühendislik incelemesi, yerinde kontrol, zemin etüdü, su baskınına karşı fiziksel tedbirler ve sigorta korumasının değerlendirilmesi bulunmaktadır.</w:t>
      </w:r>
    </w:p>
    <w:p>
      <w:pPr>
        <w:pStyle w:val="Heading1"/>
        <w:keepNext/>
      </w:pPr>
      <w:r>
        <w:t>6. Portföy Analizi</w:t>
      </w:r>
    </w:p>
    <w:p>
      <w:r>
        <w:t>Portföy modülünde bina bilgileri CSV dosyası olarak sisteme yüklenmektedir. Analizlerde temel olarak konum, yapı tipi, yapım yılı, kat/yükseklik sınıfı, inşaat alanı ve yapı birim maliyeti kullanılmaktadır.</w:t>
      </w:r>
    </w:p>
    <w:p>
      <w:r>
        <w:t>Başlıca çıktılar:</w:t>
      </w:r>
    </w:p>
    <w:p>
      <w:pPr>
        <w:pStyle w:val="ListBullet"/>
        <w:spacing w:after="60"/>
      </w:pPr>
      <w:r>
        <w:t>Toplam portföy değeri</w:t>
      </w:r>
    </w:p>
    <w:p>
      <w:pPr>
        <w:pStyle w:val="ListBullet"/>
        <w:spacing w:after="60"/>
      </w:pPr>
      <w:r>
        <w:t>Beklenen fiziksel kayıp ve kayıp oranı</w:t>
      </w:r>
    </w:p>
    <w:p>
      <w:pPr>
        <w:pStyle w:val="ListBullet"/>
        <w:spacing w:after="60"/>
      </w:pPr>
      <w:r>
        <w:t>En yüksek kayıp oranına sahip binalar</w:t>
      </w:r>
    </w:p>
    <w:p>
      <w:pPr>
        <w:pStyle w:val="ListBullet"/>
        <w:spacing w:after="60"/>
      </w:pPr>
      <w:r>
        <w:t>Öncelikli incelenmesi gereken ilk beş bina</w:t>
      </w:r>
    </w:p>
    <w:p>
      <w:pPr>
        <w:pStyle w:val="ListBullet"/>
        <w:spacing w:after="60"/>
      </w:pPr>
      <w:r>
        <w:t>Tehlike bazlı kayıp dağılımı</w:t>
      </w:r>
    </w:p>
    <w:p>
      <w:pPr>
        <w:pStyle w:val="ListBullet"/>
        <w:spacing w:after="60"/>
      </w:pPr>
      <w:r>
        <w:t>Kırılganlık modeliyle eşleşen bina oranı ve veri güveni</w:t>
      </w:r>
    </w:p>
    <w:p>
      <w:pPr>
        <w:pStyle w:val="ListBullet"/>
        <w:spacing w:after="60"/>
      </w:pPr>
      <w:r>
        <w:t>Harita üzerinde filtrelenebilir portföy görünümü</w:t>
      </w:r>
    </w:p>
    <w:p>
      <w:pPr>
        <w:pStyle w:val="ListBullet"/>
        <w:spacing w:after="60"/>
      </w:pPr>
      <w:r>
        <w:t>Sonuçların CSV olarak dışa aktarılması</w:t>
      </w:r>
    </w:p>
    <w:p>
      <w:r>
        <w:t>Ekonomik kayıp, simülasyonlardan elde edilen yaklaşık hasar oranının inşaat alanı ve DASK yapı birim maliyetleriyle ilişkilendirilmesiyle hesaplanmaktadır. Bu yaklaşımın şu aşamada basitleştirilmiş olduğu ve daha ayrıntılı sonuç modelleriyle geliştirilebileceği ifade edilmiştir.</w:t>
      </w:r>
    </w:p>
    <w:p>
      <w:pPr>
        <w:pStyle w:val="Heading1"/>
        <w:keepNext/>
      </w:pPr>
      <w:r>
        <w:t>7. Teknik Değerlendirmeler ve Geliştirme Önerileri</w:t>
      </w:r>
    </w:p>
    <w:p>
      <w:pPr>
        <w:pStyle w:val="Heading2"/>
        <w:keepNext/>
      </w:pPr>
      <w:r>
        <w:t>7.1. Risk sınıflandırma eşikleri</w:t>
      </w:r>
    </w:p>
    <w:p>
      <w:r>
        <w:t>Orta ve üzeri hasar olasılığı görece yüksek olan bir yapının “hafif” veya “düşük” kategorisinde gösterilmesinin kullanıcı açısından yanıltıcı olabileceği belirtilmiştir. Mevcut sınıf eşikleri ve hasar durumlarına verilen ağırlıkların önemli ölçüde uzman görüşüne dayandığı anlaşılmıştır.</w:t>
      </w:r>
    </w:p>
    <w:p>
      <w:pPr>
        <w:pStyle w:val="ListBullet"/>
        <w:spacing w:after="60"/>
      </w:pPr>
      <w:r>
        <w:t>Sınıf eşikleri yeniden gözden geçirilmeli ve mümkünse örnek veri veya uzman çalıştayıyla kalibre edilmelidir.</w:t>
      </w:r>
    </w:p>
    <w:p>
      <w:pPr>
        <w:pStyle w:val="ListBullet"/>
        <w:spacing w:after="60"/>
      </w:pPr>
      <w:r>
        <w:t>Skor ile hasar olasılıkları arasındaki ilişki metodoloji dokümanında açıkça gösterilmelidir.</w:t>
      </w:r>
    </w:p>
    <w:p>
      <w:pPr>
        <w:pStyle w:val="ListBullet"/>
        <w:spacing w:after="60"/>
      </w:pPr>
      <w:r>
        <w:t>“Düşük risk” gibi kesin ifadeler yerine “göreli olarak düşük öncelik” veya “ön değerlendirme seviyesi” gibi daha kontrollü ifadeler tercih edilebilir.</w:t>
      </w:r>
    </w:p>
    <w:p>
      <w:pPr>
        <w:pStyle w:val="Heading2"/>
        <w:keepNext/>
      </w:pPr>
      <w:r>
        <w:t>7.2. Jeoloji yerine Vs30 kullanılması</w:t>
      </w:r>
    </w:p>
    <w:p>
      <w:r>
        <w:t>Mevcut sistemde zemin etkisi düşük çözünürlüklü jeolojik sınıflar üzerinden temsil edilmektedir. Bunun yerine mühendislik uygulamalarında doğrudan kullanılan Vs30 parametresinin değerlendirilmesi önerilmiştir.</w:t>
      </w:r>
    </w:p>
    <w:p>
      <w:pPr>
        <w:pStyle w:val="ListBullet"/>
        <w:spacing w:after="60"/>
      </w:pPr>
      <w:r>
        <w:t>USGS veya EFEHR tarafından yayımlanan Vs30 modelleri haritaya entegre edilebilir.</w:t>
      </w:r>
    </w:p>
    <w:p>
      <w:pPr>
        <w:pStyle w:val="ListBullet"/>
        <w:spacing w:after="60"/>
      </w:pPr>
      <w:r>
        <w:t>Vs30 verileri GeoTIFF formatında sisteme aktarılabilir.</w:t>
      </w:r>
    </w:p>
    <w:p>
      <w:pPr>
        <w:pStyle w:val="ListBullet"/>
        <w:spacing w:after="60"/>
      </w:pPr>
      <w:r>
        <w:t>Türkiye Bina Deprem Yönetmeliği 2018’deki zemin sınıfları ve zemin büyütme katsayıları kullanılarak haritadan alınan PGA değeri düzenlenebilir.</w:t>
      </w:r>
    </w:p>
    <w:p>
      <w:pPr>
        <w:pStyle w:val="ListBullet"/>
        <w:spacing w:after="60"/>
      </w:pPr>
      <w:r>
        <w:t>Kullanıcının elinde yerel ve daha güvenilir zemin bilgisi varsa harita verisini değiştirebilmesine izin verilebilir.</w:t>
      </w:r>
    </w:p>
    <w:p>
      <w:pPr>
        <w:pStyle w:val="Heading2"/>
        <w:keepNext/>
      </w:pPr>
      <w:r>
        <w:t>7.3. Deprem tehlikesi ile kırılganlığın eşleştirilmesi</w:t>
      </w:r>
    </w:p>
    <w:p>
      <w:r>
        <w:t>476 yıllık dönüş periyoduna karşılık gelen tek bir PGA değerinin kırılganlık eğrilerine doğrudan uygulanmasının tam anlamıyla olasılıksal sismik risk analizi olmadığı belirtilmiştir. Tam bir analizde olay tabanlı deprem kataloğu, her olay için yer hareketi hesabı, yer hareketi belirsizliği, hasar örneklemesi ve yıllık kayıp dağılımlarının birlikte değerlendirilmesi gerekir.</w:t>
      </w:r>
    </w:p>
    <w:p>
      <w:r>
        <w:t>Mevcut yaklaşım, bu kapsamlı sürecin yerine geçmemekle birlikte, aşağıdaki amaçlarla kullanılabilir:</w:t>
      </w:r>
    </w:p>
    <w:p>
      <w:pPr>
        <w:pStyle w:val="ListBullet"/>
        <w:spacing w:after="60"/>
      </w:pPr>
      <w:r>
        <w:t>Binaların birbirleriyle göreli olarak karşılaştırılması</w:t>
      </w:r>
    </w:p>
    <w:p>
      <w:pPr>
        <w:pStyle w:val="ListBullet"/>
        <w:spacing w:after="60"/>
      </w:pPr>
      <w:r>
        <w:t>Detaylı inceleme yapılacak yapıların önceliklendirilmesi</w:t>
      </w:r>
    </w:p>
    <w:p>
      <w:pPr>
        <w:pStyle w:val="ListBullet"/>
        <w:spacing w:after="60"/>
      </w:pPr>
      <w:r>
        <w:t>Kullanıcıya genel bir tehlike ve etkilenebilirlik göstergesi sunulması</w:t>
      </w:r>
    </w:p>
    <w:p>
      <w:r>
        <w:t>Bu metodolojik sınırın platformun açıklama ve dokümantasyon bölümlerinde açık biçimde belirtilmesi önerilmiştir.</w:t>
      </w:r>
    </w:p>
    <w:p>
      <w:pPr>
        <w:pStyle w:val="Heading2"/>
        <w:keepNext/>
      </w:pPr>
      <w:r>
        <w:t>7.4. Ürünün konumlandırılması</w:t>
      </w:r>
    </w:p>
    <w:p>
      <w:r>
        <w:t>Platformun kısa vadede profesyonel katastrofik risk modelleri veya sigorta fiyatlama sistemleriyle aynı kapsamda değerlendirilmemesi gerektiği ifade edilmiştir. Buna karşılık gayrimenkul ön değerlendirmesi, kurumsal tesislerin karşılaştırılması, banka şubelerinin önceliklendirilmesi ve vatandaş farkındalığı gibi alanlarda önemli bir kullanım potansiyeli bulunduğu değerlendirilmiştir.</w:t>
      </w:r>
    </w:p>
    <w:p>
      <w:pPr>
        <w:pStyle w:val="Heading1"/>
        <w:keepNext/>
      </w:pPr>
      <w:r>
        <w:t>8. Kararlaştırılan Sonraki Adımlar</w:t>
      </w:r>
    </w:p>
    <w:p>
      <w:pPr>
        <w:pStyle w:val="ListBullet"/>
        <w:spacing w:after="60"/>
      </w:pPr>
      <w:r>
        <w:t>Deprem skorlarının etiketleme sistemi ve sınıf eşikleri yeniden incelenecek.</w:t>
      </w:r>
    </w:p>
    <w:p>
      <w:pPr>
        <w:pStyle w:val="ListBullet"/>
        <w:spacing w:after="60"/>
      </w:pPr>
      <w:r>
        <w:t>USGS ve EFEHR Vs30 veri setleri araştırılacak.</w:t>
      </w:r>
    </w:p>
    <w:p>
      <w:pPr>
        <w:pStyle w:val="ListBullet"/>
        <w:spacing w:after="60"/>
      </w:pPr>
      <w:r>
        <w:t>TBDY 2018 zemin büyütme katsayılarının sisteme entegrasyon imkânı değerlendirilecek.</w:t>
      </w:r>
    </w:p>
    <w:p>
      <w:pPr>
        <w:pStyle w:val="ListBullet"/>
        <w:spacing w:after="60"/>
      </w:pPr>
      <w:r>
        <w:t>Temel kırılganlık eğrilerinin ve ek bina parametrelerinin eğriler üzerindeki etkisini açıklayan teknik dokümantasyon hazırlanacak.</w:t>
      </w:r>
    </w:p>
    <w:p>
      <w:pPr>
        <w:pStyle w:val="ListBullet"/>
        <w:spacing w:after="60"/>
      </w:pPr>
      <w:r>
        <w:t>Mevcut yöntemin tam olasılıksal risk analizi olmadığı daha açık ifade edilecek.</w:t>
      </w:r>
    </w:p>
    <w:p>
      <w:pPr>
        <w:pStyle w:val="ListBullet"/>
        <w:spacing w:after="60"/>
      </w:pPr>
      <w:r>
        <w:t>Orta ve uzun vadede olay tabanlı ve Monte Carlo temelli risk hesaplamalarına geçiş seçeneği değerlendirilecek.</w:t>
      </w:r>
    </w:p>
    <w:p>
      <w:pPr>
        <w:pStyle w:val="ListBullet"/>
        <w:spacing w:after="60"/>
      </w:pPr>
      <w:r>
        <w:t>Platformun teknik yöntemini açıklayan PDF doküman hazırlanarak paylaşılacak.</w:t>
      </w:r>
    </w:p>
    <w:p>
      <w:pPr>
        <w:pStyle w:val="ListBullet"/>
        <w:spacing w:after="60"/>
      </w:pPr>
      <w:r>
        <w:t>CBS, harita geliştirme, yazılım ve risk modelleme alanlarında olası iş birliği imkânları açık tutulacak.</w:t>
      </w:r>
    </w:p>
    <w:p>
      <w:pPr>
        <w:pStyle w:val="Heading1"/>
        <w:keepNext/>
      </w:pPr>
      <w:r>
        <w:t>9. Genel Değerlendirme</w:t>
      </w:r>
    </w:p>
    <w:p>
      <w:r>
        <w:rPr>
          <w:b w:val="0"/>
        </w:rPr>
        <w:t xml:space="preserve">Platformun kullanıcı arayüzü, çoklu tehlike yaklaşımı, sonuçların gerekçelendirilmesi ve kullanıcıya anlaşılır biçimde aktarılması güçlü yönler olarak değerlendirilmiştir. </w:t>
      </w:r>
      <w:r>
        <w:rPr>
          <w:b/>
        </w:rPr>
        <w:t xml:space="preserve">Öncelikli geliştirme alanları; </w:t>
      </w:r>
      <w:r>
        <w:t>deprem tehlikesinin kullanım biçimi, zemin etkisinin Vs30 ile temsil edilmesi, skor eşiklerinin kalibrasyonu, finansal kayıp hesabının geliştirilmesi ve metodolojik sınırların daha açık anlatılmasıdır.</w:t>
      </w:r>
    </w:p>
    <w:sectPr w:rsidR="00FC693F" w:rsidRPr="0006063C" w:rsidSect="00034616">
      <w:footerReference w:type="default" r:id="rId9"/>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7575"/>
        <w:sz w:val="16"/>
      </w:rPr>
      <w:t>Görüşme Özeti | 1 Temmuz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eastAsia="Apto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w:hAnsi="Aptos" w:eastAsia="Aptos"/>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280"/>
    </w:pPr>
    <w:rPr>
      <w:rFonts w:ascii="Aptos" w:hAnsi="Aptos" w:eastAsia="Aptos"/>
      <w:color w:val="59595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Görüşme Özeti - Emin Yahya</dc:title>
  <dc:subject>Platform teknik değerlendirme görüşmesi</dc:subject>
  <dc:creator>Nurullah Açıkgöz</dc:creator>
  <cp:keywords>deprem, risk, kırılganlık, portföy, Vs30, görüşme özeti</cp:keywords>
  <dc:description>generated by python-docx</dc:description>
  <cp:lastModifiedBy/>
  <cp:revision>1</cp:revision>
  <dcterms:created xsi:type="dcterms:W3CDTF">2013-12-23T23:15:00Z</dcterms:created>
  <dcterms:modified xsi:type="dcterms:W3CDTF">2013-12-23T23:15:00Z</dcterms:modified>
  <cp:category/>
</cp:coreProperties>
</file>