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Tefsir Dersi Raporu</w:t>
      </w:r>
    </w:p>
    <w:p>
      <w:pPr>
        <w:spacing w:after="40"/>
        <w:jc w:val="center"/>
      </w:pPr>
      <w:r>
        <w:rPr>
          <w:color w:val="2E5496"/>
          <w:sz w:val="26"/>
          <w:szCs w:val="26"/>
        </w:rPr>
        <w:t xml:space="preserve">Bakara Sûresi, 67–74. Âyetler — Sığır (İnek) Kıssası</w:t>
      </w:r>
    </w:p>
    <w:p>
      <w:pPr>
        <w:pBdr>
          <w:bottom w:val="single" w:color="C9A227" w:sz="6" w:space="8"/>
        </w:pBdr>
        <w:spacing w:after="240"/>
        <w:jc w:val="center"/>
      </w:pPr>
      <w:r>
        <w:rPr>
          <w:color w:val="808080"/>
          <w:sz w:val="18"/>
          <w:szCs w:val="18"/>
        </w:rPr>
        <w:t xml:space="preserve">Ders tarihi: 19 Haziran 2026  •  23. Hafta  •  Ders müzakeresiyle birlikte</w:t>
      </w:r>
    </w:p>
    <w:p>
      <w:pPr>
        <w:spacing w:after="160" w:line="276"/>
        <w:jc w:val="both"/>
      </w:pPr>
      <w:r>
        <w:t xml:space="preserve">Bu rapor, Bakara sûresinin 67–74. âyetlerinde anlatılan sığır (inek) kesme kıssası üzerine yapılan tefsir dersinin ve dersi izleyen müzakerenin düzenlenmiş bir özetidir. Ders, kıssanın âyet sıralamasından başlayarak metnin verdiği mesajları, İsrâiloğulları'nın takındığı tavrı ve buradan çıkarılan ahlâkî-itikadî dersleri ele almıştır. Sonraki bölümde ise katılımcılarla; gereksiz soru sorma, gaybî meseleler ve fıkıh-mezhep kurumunun işlevi tartışılmıştır.</w:t>
      </w:r>
    </w:p>
    <w:p>
      <w:pPr>
        <w:pStyle w:val="Heading1"/>
      </w:pPr>
      <w:r>
        <w:t xml:space="preserve">1. Âyetlerin Özet Meâli</w:t>
      </w:r>
    </w:p>
    <w:p>
      <w:pPr>
        <w:spacing w:after="160" w:line="276"/>
        <w:jc w:val="both"/>
      </w:pPr>
      <w:r>
        <w:t xml:space="preserve">Dersin merkezindeki âyetlerde, Hz. Mûsâ ile kavmi arasında geçen diyalog şu çerçevede aktarılır:</w:t>
      </w:r>
    </w:p>
    <w:p>
      <w:pPr>
        <w:pStyle w:val="ListParagraph"/>
        <w:numPr>
          <w:ilvl w:val="0"/>
          <w:numId w:val="2"/>
        </w:numPr>
        <w:spacing w:after="100" w:line="276"/>
        <w:jc w:val="both"/>
      </w:pPr>
      <w:r>
        <w:t xml:space="preserve">Allah'ın bir sığır kesmelerini emretmesi; kavmin “Bizimle alay mı ediyorsun?” demesi; Hz. Mûsâ'nın “Cahillerden olmaktan Allah'a sığınırım” cevabı (67).</w:t>
      </w:r>
    </w:p>
    <w:p>
      <w:pPr>
        <w:pStyle w:val="ListParagraph"/>
        <w:numPr>
          <w:ilvl w:val="0"/>
          <w:numId w:val="2"/>
        </w:numPr>
        <w:spacing w:after="100" w:line="276"/>
        <w:jc w:val="both"/>
      </w:pPr>
      <w:r>
        <w:t xml:space="preserve">“Rabbine dua et de bize onun ne olduğunu açıklasın” talebi; cevap: ne yaşlı ne de körpe, ikisi arası bir sığır (68).</w:t>
      </w:r>
    </w:p>
    <w:p>
      <w:pPr>
        <w:pStyle w:val="ListParagraph"/>
        <w:numPr>
          <w:ilvl w:val="0"/>
          <w:numId w:val="2"/>
        </w:numPr>
        <w:spacing w:after="100" w:line="276"/>
        <w:jc w:val="both"/>
      </w:pPr>
      <w:r>
        <w:t xml:space="preserve">Renginin sorulması; cevap: bakanların içini açan parlak, sarı renkli bir sığır (69).</w:t>
      </w:r>
    </w:p>
    <w:p>
      <w:pPr>
        <w:pStyle w:val="ListParagraph"/>
        <w:numPr>
          <w:ilvl w:val="0"/>
          <w:numId w:val="2"/>
        </w:numPr>
        <w:spacing w:after="100" w:line="276"/>
        <w:jc w:val="both"/>
      </w:pPr>
      <w:r>
        <w:t xml:space="preserve">“Onun tam olarak nasıl olduğunu açıklasın, çünkü sığırlar bize benzer geldi” denmesi (70).</w:t>
      </w:r>
    </w:p>
    <w:p>
      <w:pPr>
        <w:pStyle w:val="ListParagraph"/>
        <w:numPr>
          <w:ilvl w:val="0"/>
          <w:numId w:val="2"/>
        </w:numPr>
        <w:spacing w:after="100" w:line="276"/>
        <w:jc w:val="both"/>
      </w:pPr>
      <w:r>
        <w:t xml:space="preserve">Son tarif: boyunduruğa vurulmamış, çift sürmemiş, ekin sulamamış, üzerinde hiçbir alacası/kusuru bulunmayan bir sığır. Bunun üzerine “İşte şimdi gerçeği getirdin” deyip sığırı bulup kestiler; ama az kalsın kesemeyeceklerdi (71).</w:t>
      </w:r>
    </w:p>
    <w:p>
      <w:pPr>
        <w:pStyle w:val="ListParagraph"/>
        <w:numPr>
          <w:ilvl w:val="0"/>
          <w:numId w:val="2"/>
        </w:numPr>
        <w:spacing w:after="100" w:line="276"/>
        <w:jc w:val="both"/>
      </w:pPr>
      <w:r>
        <w:t xml:space="preserve">Bir cana kıyılması ve tarafların suçu birbirine atması; kesilen sığırın bir parçasıyla maktule vurulması ve Allah'ın ölüyü diriltmesi; böylece katilin ortaya çıkması (72–73).</w:t>
      </w:r>
    </w:p>
    <w:p>
      <w:pPr>
        <w:pStyle w:val="ListParagraph"/>
        <w:numPr>
          <w:ilvl w:val="0"/>
          <w:numId w:val="2"/>
        </w:numPr>
        <w:spacing w:after="100" w:line="276"/>
        <w:jc w:val="both"/>
      </w:pPr>
      <w:r>
        <w:t xml:space="preserve">Bütün bunların ardından kalplerin taş gibi katılaşması (74).</w:t>
      </w:r>
    </w:p>
    <w:p>
      <w:pPr>
        <w:pStyle w:val="Heading1"/>
      </w:pPr>
      <w:r>
        <w:t xml:space="preserve">2. Anlatının Sıralaması ve Hikmeti</w:t>
      </w:r>
    </w:p>
    <w:p>
      <w:pPr>
        <w:spacing w:after="160" w:line="276"/>
        <w:jc w:val="both"/>
      </w:pPr>
      <w:r>
        <w:t xml:space="preserve">Olayın “normal” akışı, önce cinayetin anlatılmasını gerektirirdi: İsrâiloğulları'ndan bir adam öldürülür, fâili bilinmediği için Hz. Mûsâ'ya başvurulur, o da çözüm olarak bir sığır kesmelerini söyler. Oysa Kur'an, doğrudan sığır kesme emriyle başlar; cinayet olayını ise 72–73. âyetlerde, yani sonradan anlatır.</w:t>
      </w:r>
    </w:p>
    <w:p>
      <w:pPr>
        <w:spacing w:after="160" w:line="276"/>
        <w:jc w:val="both"/>
      </w:pPr>
      <w:r>
        <w:t xml:space="preserve">Bu ters sıralamadan çıkarılan yorum şudur: Asıl vurgulanmak istenen, öldürülen kişi veya cinayetin kendisi değil, İsrâiloğulları'nın bir ilâhî emir karşısında takındığı tavırdır. Sonuç (sığır kesme emri) en başa alınarak, kıssanın ağırlık merkezinin bu tavra ve onun doğurduğu derslere kaydırıldığı düşünülmektedir.</w:t>
      </w:r>
    </w:p>
    <w:p>
      <w:pPr>
        <w:pStyle w:val="Heading1"/>
      </w:pPr>
      <w:r>
        <w:t xml:space="preserve">3. Olayın Arka Planı</w:t>
      </w:r>
    </w:p>
    <w:p>
      <w:pPr>
        <w:spacing w:after="160" w:line="276"/>
        <w:jc w:val="both"/>
      </w:pPr>
      <w:r>
        <w:t xml:space="preserve">Bazı rivayetlere göre öldürülen adam, başka bir kabilenin bölgesine bırakılır. O kabile cinayeti reddeder; maktulün kabilesi ise “cesedin sizin bölgenizde bulundu” diyerek onları sorumlu tutar. Anlaşmazlık, kabileler arası bir çatışmaya dönüşme noktasına gelir.</w:t>
      </w:r>
    </w:p>
    <w:p>
      <w:pPr>
        <w:spacing w:after="160" w:line="276"/>
        <w:jc w:val="both"/>
      </w:pPr>
      <w:r>
        <w:t xml:space="preserve">Çözüm için Hz. Mûsâ'ya gidilir. Verilen yol şudur: bir sığır kesilecek, kesilen sığırdan bir parça maktule değdirilecek, ölü kısa süreliğine dirilip kendisini kimin öldürdüğünü söyleyecek, böylece fâil belli olacaktır. Burada öldürülen kişinin diyeti niteliğinde bir kurban söz konusu değildir; bir sığır üzerinden gösterilen ilâhî bir mucize ve hikmet bahis konusudur.</w:t>
      </w:r>
    </w:p>
    <w:p>
      <w:pPr>
        <w:pStyle w:val="Heading1"/>
      </w:pPr>
      <w:r>
        <w:t xml:space="preserve">4. Soru Sorma Tavrı: Dini “Cıvıklaştırmak”</w:t>
      </w:r>
    </w:p>
    <w:p>
      <w:pPr>
        <w:spacing w:after="160" w:line="276"/>
        <w:jc w:val="both"/>
      </w:pPr>
      <w:r>
        <w:t xml:space="preserve">İlk emirde istenen, herhangi bir sığırdı; Arapça'daki belirsizlik (tenvin) bunu gösterir. Yani başlangıçta önlerinde geniş bir kolaylık vardı. Ancak İsrâiloğulları bununla yetinmeyip ardı ardına detay sorarak işi zorlaştırdılar.</w:t>
      </w:r>
    </w:p>
    <w:p>
      <w:pPr>
        <w:spacing w:after="160" w:line="276"/>
        <w:jc w:val="both"/>
      </w:pPr>
      <w:r>
        <w:t xml:space="preserve">Derste bu tutum, samimi bir öğrenme arayışından ayrılır. Soru sormanın meşru gerekçeleri vardır: kişi imanın eşiğinde olabilir ve şüphelerini gidermek için sorabilir; yahut iman ettikten sonra samimiyetini artırmak için sorabilir. Buna karşılık İsrâiloğulları'nın tutumu, dini hafife alma, alaya alma ve basitleştirme niyetine yorulmuştur — günümüzde de bazı ortamlarda görülen, cevabı almaktan çok gösteriş yapmaya veya konuyu komikleştirmeye dönük soru sorma tarzına benzetilmiştir.</w:t>
      </w:r>
    </w:p>
    <w:p>
      <w:pPr>
        <w:spacing w:after="160" w:line="276"/>
        <w:jc w:val="both"/>
      </w:pPr>
      <w:r>
        <w:t xml:space="preserve">Hz. Mûsâ'nın “alay mı ediyorsun?” sorusuna “</w:t>
      </w:r>
      <w:r>
        <w:rPr>
          <w:i/>
          <w:iCs/>
        </w:rPr>
        <w:t xml:space="preserve">Cahillerden olmaktan Allah'a sığınırım</w:t>
      </w:r>
      <w:r>
        <w:t xml:space="preserve">” şeklinde cevap vermesi de bu çerçevede yorumlanmıştır. Buradaki “cahil” kelimesinin, “âlim”in zıddı olan bilgisizlikten çok, “halîm”in (öfkesine ve nefsine hâkim, ağırbaşlı insan) zıddı olan taşkınlık anlamına geldiği belirtilmiştir. Buna göre cümle, “bu tavır karşısında öfkeme kapılıp ölçüyü kaçırmaktan, halîm tavrımdan uzaklaşmaktan sana sığınırım” mânasına gelmektedir.</w:t>
      </w:r>
    </w:p>
    <w:p>
      <w:pPr>
        <w:pStyle w:val="Heading1"/>
      </w:pPr>
      <w:r>
        <w:t xml:space="preserve">5. Kademeli Sorular ve İçlerindeki İşaretler</w:t>
      </w:r>
    </w:p>
    <w:p>
      <w:pPr>
        <w:pStyle w:val="Heading2"/>
      </w:pPr>
      <w:r>
        <w:t xml:space="preserve">Yaş</w:t>
      </w:r>
    </w:p>
    <w:p>
      <w:pPr>
        <w:spacing w:after="160" w:line="276"/>
        <w:jc w:val="both"/>
      </w:pPr>
      <w:r>
        <w:t xml:space="preserve">“Ne yaşlı ne körpe, ikisi arası” tarifi verilir. Burada gücünün ve faydasının zirvesinde olan, ne çok yaşlı ne çok genç bir sığır kastedilir. Âyetin devamında “artık emredileni yapın” buyrularak, sorularını uzatmaları hâlinde işin kendileri için bir yüke dönüşeceği ima edilir.</w:t>
      </w:r>
    </w:p>
    <w:p>
      <w:pPr>
        <w:pStyle w:val="Heading2"/>
      </w:pPr>
      <w:r>
        <w:t xml:space="preserve">Renk</w:t>
      </w:r>
    </w:p>
    <w:p>
      <w:pPr>
        <w:spacing w:after="160" w:line="276"/>
        <w:jc w:val="both"/>
      </w:pPr>
      <w:r>
        <w:t xml:space="preserve">Bakanların içini açan, parlak altın sarısı bir sığır tarif edilir. Bu detayda, daha önceki derslerde işlenen altın buzağı olayına bir gönderme bulunabileceği belirtilmiştir: bir zamanlar ilâh edinip sevdikleri sarı-altın buzağıyı çağrıştıran sarı bir sığırı, bu kez kendi elleriyle kesmek zorunda bırakılmaları, içlerinde kalan o sevgiyi kırmaya yönelik bir mesaj olarak okunabilir.</w:t>
      </w:r>
    </w:p>
    <w:p>
      <w:pPr>
        <w:pStyle w:val="Heading2"/>
      </w:pPr>
      <w:r>
        <w:t xml:space="preserve">Nitelik</w:t>
      </w:r>
    </w:p>
    <w:p>
      <w:pPr>
        <w:spacing w:after="160" w:line="276"/>
        <w:jc w:val="both"/>
      </w:pPr>
      <w:r>
        <w:t xml:space="preserve">Son tarifte sığırın; boyunduruğa vurulmamış, çift sürmemiş, ekin sulamamış, üzerinde hiçbir kusur ve alaca bulunmayan, dinç ve altın sarısı bir hayvan olduğu bildirilir. Başlangıçta binlerce sığır arasından seçebilecekleri sıradan bir hayvan iken, sordukça tarif öyle daralır ki neredeyse bulup kesemeyecek hâle gelirler. Âyetteki “az kalsın kesemiyorlardı” ifadesi bunu yansıtır.</w:t>
      </w:r>
    </w:p>
    <w:p>
      <w:pPr>
        <w:pStyle w:val="Heading1"/>
      </w:pPr>
      <w:r>
        <w:t xml:space="preserve">6. Temel İtikadî ve Ahlâkî Dersler</w:t>
      </w:r>
    </w:p>
    <w:p>
      <w:pPr>
        <w:pStyle w:val="ListParagraph"/>
        <w:numPr>
          <w:ilvl w:val="0"/>
          <w:numId w:val="2"/>
        </w:numPr>
        <w:spacing w:after="100" w:line="276"/>
        <w:jc w:val="both"/>
      </w:pPr>
      <w:r>
        <w:t xml:space="preserve">İman edilen bir dinin amelî emirleri karşısında “neden böyle, neden şöyle?” diye sürekli soru sormanın bir noktadan sonra faydası yoktur; amel, pratikle ilgilidir ve kabulden sonra yerine getirilmesi beklenir (akşam namazının neden üç rekât olduğu türünden tartışmalar bu kabildendir).</w:t>
      </w:r>
    </w:p>
    <w:p>
      <w:pPr>
        <w:pStyle w:val="ListParagraph"/>
        <w:numPr>
          <w:ilvl w:val="0"/>
          <w:numId w:val="2"/>
        </w:numPr>
        <w:spacing w:after="100" w:line="276"/>
        <w:jc w:val="both"/>
      </w:pPr>
      <w:r>
        <w:t xml:space="preserve">Dinin emirleri sade ve anlaşılır biçimde verilmiştir; detayların detayını kurcalamak çoğu zaman fayda değil yük getirir. Basit bir emir, fazla soruyla kişinin sırtında büyük bir yüke dönüşebilir.</w:t>
      </w:r>
    </w:p>
    <w:p>
      <w:pPr>
        <w:pStyle w:val="ListParagraph"/>
        <w:numPr>
          <w:ilvl w:val="0"/>
          <w:numId w:val="2"/>
        </w:numPr>
        <w:spacing w:after="100" w:line="276"/>
        <w:jc w:val="both"/>
      </w:pPr>
      <w:r>
        <w:t xml:space="preserve">Hac emri verildiğinde “her sene mi?” diye ısrarla soran kişiye Hz. Peygamber'in soruyu sürdürmemesini istemesi, açıklanmamış ayrıntılarda boğulmamanın bir örneği olarak hatırlatılmıştır.</w:t>
      </w:r>
    </w:p>
    <w:p>
      <w:pPr>
        <w:pStyle w:val="ListParagraph"/>
        <w:numPr>
          <w:ilvl w:val="0"/>
          <w:numId w:val="2"/>
        </w:numPr>
        <w:spacing w:after="100" w:line="276"/>
        <w:jc w:val="both"/>
      </w:pPr>
      <w:r>
        <w:t xml:space="preserve">Âyetin sonundaki “inşallah doğru olanı buluruz” ifadesi, olumlu görünse de burada bir kaçış/bahane tavrına işaret edebilir: zorlaştırdıktan sonra “bulamazsak da Allah dilememiştir” diyerek sorumluluğu kadere yıkma eğilimi. Günahın bazen bu yüzü de vardır.</w:t>
      </w:r>
    </w:p>
    <w:p>
      <w:pPr>
        <w:pStyle w:val="Heading1"/>
      </w:pPr>
      <w:r>
        <w:t xml:space="preserve">7. Müzakere: Gereksiz Sorular ve Gaybî Meseleler</w:t>
      </w:r>
    </w:p>
    <w:p>
      <w:pPr>
        <w:spacing w:after="160" w:line="276"/>
        <w:jc w:val="both"/>
      </w:pPr>
      <w:r>
        <w:t xml:space="preserve">Dersin ardından katılımcılarla, hangi soruların yerinde olduğu tartışıldı. Bir görüşe göre, özellikle çocukların ve bazı yetişkinlerin sıkça sorduğu âhiret tasvirleri (cennette kimle evlenileceği, köşklerin sayısı, şarabın hangi kadehte içileceği gibi) günlük pratiğe ve imanın derinleşmesine katkı sağlamadığı ölçüde ikincil kalır. Bu çerçevede, kişinin sorularının kalitesinin, onun gündeminin ve önceliklerinin bir göstergesi olduğu ifade edildi.</w:t>
      </w:r>
    </w:p>
    <w:p>
      <w:pPr>
        <w:spacing w:after="160" w:line="276"/>
        <w:jc w:val="both"/>
      </w:pPr>
      <w:r>
        <w:t xml:space="preserve">Buna karşı çıkan görüşler de dile getirildi: merak insanî ve doğaldır; cennetin tasvir edilmesinin bir hikmeti vardır ve insanları gayba imana ve amele teşvik eder. Ölçü olarak şu öne çıktı: sorulan sorunun ya iknayı (imanı) güçlendirmesi ya da amele bir karşılığının olması beklenir. Gaybî ayrıntılar ise büyük ölçüde Allah'a bırakılması gereken alanlardır; “önce oraya varalım, gerisi orada açılır” yaklaşımı makul bulundu. Yine de bu noktada katılımcılar arasında tam bir görüş birliği oluşmadı.</w:t>
      </w:r>
    </w:p>
    <w:p>
      <w:pPr>
        <w:pStyle w:val="Heading1"/>
      </w:pPr>
      <w:r>
        <w:t xml:space="preserve">8. Müzakere: Fıkıh ve Mezheplerin İşlevi</w:t>
      </w:r>
    </w:p>
    <w:p>
      <w:pPr>
        <w:spacing w:after="160" w:line="276"/>
        <w:jc w:val="both"/>
      </w:pPr>
      <w:r>
        <w:t xml:space="preserve">Kıssadan hareketle önemli bir soru gündeme geldi: “Detaylarda boğulmak zararlıdır” deniyorsa, namazda elin nerede tutulacağına, kurbanın nasıl kesileceğine kadar ayrıntı belirleyen fıkıh ve mezhepler de aynı eleştiriye düşmez mi? İlk bakışta bir benzerlik kurulduysa da, ayrımın şurada olduğu vurgulandı:</w:t>
      </w:r>
    </w:p>
    <w:p>
      <w:pPr>
        <w:pStyle w:val="ListParagraph"/>
        <w:numPr>
          <w:ilvl w:val="0"/>
          <w:numId w:val="2"/>
        </w:numPr>
        <w:spacing w:after="100" w:line="276"/>
        <w:jc w:val="both"/>
      </w:pPr>
      <w:r>
        <w:t xml:space="preserve">İsrâiloğulları'nın ve sahâbenin muhatabı doğrudan peygamberdi; soru sorma imkânı ve canlı örneklik vardı.</w:t>
      </w:r>
    </w:p>
    <w:p>
      <w:pPr>
        <w:pStyle w:val="ListParagraph"/>
        <w:numPr>
          <w:ilvl w:val="0"/>
          <w:numId w:val="2"/>
        </w:numPr>
        <w:spacing w:after="100" w:line="276"/>
        <w:jc w:val="both"/>
      </w:pPr>
      <w:r>
        <w:t xml:space="preserve">Fıkıh ve mezhepler ise peygamberden sonra, doğrudan muhatap bulunmadığı bir dönemde ortaya çıktı. Amaçları yeni bir din üretmek değil, Hz. Peygamber'in gösterdiğine en sağlam yoldan ulaşmak ve boşlukta kalan meseleleri doldurmaktır (“Peygamber elini nereden bağladıysa biz de oradan bağlarız” örneği).</w:t>
      </w:r>
    </w:p>
    <w:p>
      <w:pPr>
        <w:spacing w:after="160" w:line="276"/>
        <w:jc w:val="both"/>
      </w:pPr>
      <w:r>
        <w:t xml:space="preserve">Bir itiraz olarak, fıkhın zamanla pratikte “dinin kendisi” hâline geldiği ve mezheplerin âdeta dinleştirildiği endişesi dile getirildi. Buna verilen cevap, fıkhın dinin aslı değil, peygamberin ardından dini en güvenilir biçimde yaşama gayretinin bir ifadesi olduğu; “fıkıhsızlık/mesleksizlik”in zaten mümkün olmadığı, çünkü herhangi bir tercihin de sonuçta bir yol/usul oluşturduğu yönündeydi. Sonuçta benzetmenin bazı yönlerden işlediği, ama niyet ve bağlam bakımından İsrâiloğulları'nın tavrıyla fıkhın boşluk doldurma gayretinin aynı sayılamayacağı kanaatine varıldı.</w:t>
      </w:r>
    </w:p>
    <w:p>
      <w:pPr>
        <w:pStyle w:val="Heading1"/>
      </w:pPr>
      <w:r>
        <w:t xml:space="preserve">9. Ana Çıkarımlar</w:t>
      </w:r>
    </w:p>
    <w:p>
      <w:pPr>
        <w:pStyle w:val="ListParagraph"/>
        <w:numPr>
          <w:ilvl w:val="0"/>
          <w:numId w:val="2"/>
        </w:numPr>
        <w:spacing w:after="100" w:line="276"/>
        <w:jc w:val="both"/>
      </w:pPr>
      <w:r>
        <w:t xml:space="preserve">Kıssanın vurgusu, cinayetin kendisinden çok bir ilâhî emir karşısında takınılan tavırdadır.</w:t>
      </w:r>
    </w:p>
    <w:p>
      <w:pPr>
        <w:pStyle w:val="ListParagraph"/>
        <w:numPr>
          <w:ilvl w:val="0"/>
          <w:numId w:val="2"/>
        </w:numPr>
        <w:spacing w:after="100" w:line="276"/>
        <w:jc w:val="both"/>
      </w:pPr>
      <w:r>
        <w:t xml:space="preserve">Dinin emirleri sadedir; samimi olmayan, basitleştirici ve alaycı soru sorma tarzı, kolay olanı zorlaştırır ve insanın sırtına yük bindirir.</w:t>
      </w:r>
    </w:p>
    <w:p>
      <w:pPr>
        <w:pStyle w:val="ListParagraph"/>
        <w:numPr>
          <w:ilvl w:val="0"/>
          <w:numId w:val="2"/>
        </w:numPr>
        <w:spacing w:after="100" w:line="276"/>
        <w:jc w:val="both"/>
      </w:pPr>
      <w:r>
        <w:t xml:space="preserve">Yerinde soru, ya imanı güçlendirmeli ya da amele yansımalıdır; gaybî ayrıntılar büyük ölçüde Allah'a bırakılmalıdır.</w:t>
      </w:r>
    </w:p>
    <w:p>
      <w:pPr>
        <w:pStyle w:val="ListParagraph"/>
        <w:numPr>
          <w:ilvl w:val="0"/>
          <w:numId w:val="2"/>
        </w:numPr>
        <w:spacing w:after="100" w:line="276"/>
        <w:jc w:val="both"/>
      </w:pPr>
      <w:r>
        <w:t xml:space="preserve">Fıkıh ve mezhepler, peygamber sonrası dönemde dini en sağlam yoldan yaşama ve boşlukları doldurma gayretidir; İsrâiloğulları'nın zorlaştırıcı tavrıyla özdeşleştirilemez.</w:t>
      </w:r>
    </w:p>
    <w:p>
      <w:pPr>
        <w:pStyle w:val="Heading1"/>
      </w:pPr>
      <w:r>
        <w:t xml:space="preserve">10. Ders Sonu — İdari Notlar</w:t>
      </w:r>
    </w:p>
    <w:p>
      <w:pPr>
        <w:pStyle w:val="ListParagraph"/>
        <w:numPr>
          <w:ilvl w:val="0"/>
          <w:numId w:val="2"/>
        </w:numPr>
        <w:spacing w:after="100" w:line="276"/>
        <w:jc w:val="both"/>
      </w:pPr>
      <w:r>
        <w:t xml:space="preserve">Önümüzdeki iki hafta, dersi veren kişinin doktora mülakatı hazırlığı sebebiyle ara verilecek; bu süreçte alternatif olarak kısa bir “mezhepler tarihi” oturumu yapılması gündeme geldi.</w:t>
      </w:r>
    </w:p>
    <w:p>
      <w:pPr>
        <w:pStyle w:val="ListParagraph"/>
        <w:numPr>
          <w:ilvl w:val="0"/>
          <w:numId w:val="2"/>
        </w:numPr>
        <w:spacing w:after="100" w:line="276"/>
        <w:jc w:val="both"/>
      </w:pPr>
      <w:r>
        <w:t xml:space="preserve">Derslerde takip edilmek üzere, dördü klasik, kalanı ara ve modern dönemlerden olmak üzere on farklı tefsir belirlendi (Türkçe ve PDF erişimli). Bu eserlerin yaklaşık 30 katılımcıya, her tefsire iki-üç kişi düşecek şekilde dağıtılması; böylece bir âyet hakkında farklı tefsirlerden eş zamanlı mukayese yapılarak dersin seviyesinin yükseltilmesi hedeflendi.</w:t>
      </w:r>
    </w:p>
    <w:p>
      <w:pPr>
        <w:pStyle w:val="ListParagraph"/>
        <w:numPr>
          <w:ilvl w:val="0"/>
          <w:numId w:val="2"/>
        </w:numPr>
        <w:spacing w:after="100" w:line="276"/>
        <w:jc w:val="both"/>
      </w:pPr>
      <w:r>
        <w:t xml:space="preserve">Bir sonraki işlenecek bölüm olarak 72–74. âyetler işaretlendi.</w:t>
      </w:r>
    </w:p>
    <w:p>
      <w:pPr>
        <w:pBdr>
          <w:top w:val="single" w:color="C9A227" w:sz="4" w:space="6"/>
        </w:pBdr>
        <w:spacing w:before="320"/>
      </w:pPr>
      <w:r>
        <w:rPr>
          <w:i/>
          <w:iCs/>
          <w:color w:val="808080"/>
          <w:sz w:val="18"/>
          <w:szCs w:val="18"/>
        </w:rPr>
        <w:t xml:space="preserve">Not: Bu rapor, ders kaydının dökümünden hareketle düzenlenmiş bir özet olup tefsirî yorumlar derste dile getirilen değerlendirmeleri yansıtır.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6"/>
      </w:pBdr>
      <w:tabs>
        <w:tab w:val="right" w:pos="9026"/>
      </w:tabs>
    </w:pPr>
    <w:r>
      <w:rPr>
        <w:color w:val="808080"/>
        <w:sz w:val="16"/>
        <w:szCs w:val="16"/>
      </w:rPr>
      <w:t xml:space="preserve">Tefsir Dersi Raporu — Bakara 67–74</w:t>
    </w:r>
    <w:r>
      <w:rPr>
        <w:color w:val="808080"/>
        <w:sz w:val="16"/>
        <w:szCs w:val="16"/>
      </w:rPr>
      <w:t xml:space="preserve">	Sayfa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jc w:val="center"/>
    </w:pPr>
    <w:rPr>
      <w:rFonts w:ascii="Calibri" w:cs="Calibri" w:eastAsia="Calibri" w:hAnsi="Calibri"/>
      <w:b/>
      <w:bCs/>
      <w:color w:val="1F3864"/>
      <w:sz w:val="40"/>
      <w:szCs w:val="40"/>
    </w:rPr>
  </w:style>
  <w:style w:type="paragraph" w:styleId="Heading1">
    <w:name w:val="Heading 1"/>
    <w:basedOn w:val="Normal"/>
    <w:next w:val="Normal"/>
    <w:qFormat/>
    <w:pPr>
      <w:pBdr>
        <w:bottom w:val="single" w:color="C9A227" w:sz="6" w:space="4"/>
      </w:pBdr>
      <w:spacing w:after="14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Tefsir Dersi Raporu — Bakara Sûresi 67–74</dc:title>
  <dc:creator>Tefsir Dersi</dc:creator>
  <cp:lastModifiedBy>Un-named</cp:lastModifiedBy>
  <cp:revision>1</cp:revision>
  <dcterms:created xsi:type="dcterms:W3CDTF">2026-06-20T08:35:45.215Z</dcterms:created>
  <dcterms:modified xsi:type="dcterms:W3CDTF">2026-06-20T08:35:45.215Z</dcterms:modified>
</cp:coreProperties>
</file>

<file path=docProps/custom.xml><?xml version="1.0" encoding="utf-8"?>
<Properties xmlns="http://schemas.openxmlformats.org/officeDocument/2006/custom-properties" xmlns:vt="http://schemas.openxmlformats.org/officeDocument/2006/docPropsVTypes"/>
</file>