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Tefsir Dersi Raporu</w:t>
      </w:r>
    </w:p>
    <w:p>
      <w:pPr>
        <w:spacing w:after="40"/>
        <w:jc w:val="center"/>
      </w:pPr>
      <w:r>
        <w:rPr>
          <w:color w:val="2E5496"/>
          <w:sz w:val="24"/>
          <w:szCs w:val="24"/>
        </w:rPr>
        <w:t xml:space="preserve">Bakara Sûresi, 72–74. Âyetler — Kıssanın Tamamlanması ve Kalplerin Katılaşması</w:t>
      </w:r>
    </w:p>
    <w:p>
      <w:pPr>
        <w:pBdr>
          <w:bottom w:val="single" w:color="C9A227" w:sz="6" w:space="8"/>
        </w:pBdr>
        <w:spacing w:after="240"/>
        <w:jc w:val="center"/>
      </w:pPr>
      <w:r>
        <w:rPr>
          <w:color w:val="808080"/>
          <w:sz w:val="18"/>
          <w:szCs w:val="18"/>
        </w:rPr>
        <w:t xml:space="preserve">Ders tarihi: 10 Temmuz 2026  •  Ders müzakeresiyle birlikte</w:t>
      </w:r>
    </w:p>
    <w:p>
      <w:pPr>
        <w:spacing w:after="160" w:line="276"/>
        <w:jc w:val="both"/>
      </w:pPr>
      <w:r>
        <w:t xml:space="preserve">Bu rapor, Bakara sûresinin 72–74. âyetleri üzerine yapılan tefsir dersinin ve dersi izleyen müzakerenin düzenlenmiş bir özetidir. Ders, önceki hafta işlenen sığır (inek) kıssasının cinayet boyutunu tamamlar; ardından âyetlerdeki “diriltme” fiilinin süreklilik anlamı, “akıl” kavramı ile duyguların ilişkisi, kalplerin katılaşması ve Kur'an'ın bu katılaşma için saydığı sebepler ele alınır. Sonraki bölümde ise ders formatı ve dinî “heyecan” üzerine katılımcılarla yapılan istişare yer almaktadır.</w:t>
      </w:r>
    </w:p>
    <w:p>
      <w:pPr>
        <w:pStyle w:val="Heading1"/>
      </w:pPr>
      <w:r>
        <w:t xml:space="preserve">1. Kıssanın Tamamlanması: Cinayetin Çözümü (72–73)</w:t>
      </w:r>
    </w:p>
    <w:p>
      <w:pPr>
        <w:spacing w:after="160" w:line="276"/>
        <w:jc w:val="both"/>
      </w:pPr>
      <w:r>
        <w:t xml:space="preserve">Önceki haftaya bağlanarak, olayın mantıkî sıralamada en başta gelmesi gereken kısmının en sonda anlatılmasının, asıl vurgunun olayın kendisinden çok İsrâiloğulları'nın tavrında olduğuna işaret ettiği hatırlatıldı.</w:t>
      </w:r>
    </w:p>
    <w:p>
      <w:pPr>
        <w:spacing w:after="160" w:line="276"/>
        <w:jc w:val="both"/>
      </w:pPr>
      <w:r>
        <w:t xml:space="preserve">72. âyette, öldürülen kişi hakkında tarafların birbirini suçladığı (“fe'ddâraʾtum”) belirtilir. Rivayetlere göre öldüren taraf cesedi başka bir kabilenin bölgesine bırakmış; sabah cesedi bulan kabile suçlanmış, taraflar birbirini itham etmiş ve mesele neredeyse silahlı bir iç çatışmaya dönüşmüştür. Aralarında yaşayan Hz. Mûsâ'ya başvurulur; o da çözümü ilâhî vahiyle açıklar ve bir sığır kesmelerini söyler.</w:t>
      </w:r>
    </w:p>
    <w:p>
      <w:pPr>
        <w:spacing w:after="160" w:line="276"/>
        <w:jc w:val="both"/>
      </w:pPr>
      <w:r>
        <w:t xml:space="preserve">73. âyette, kesilen sığırın bir parçasının maktule değdirilmesi ve Allah'ın ölüyü diriltmesiyle katilin ortaya çıkması anlatılır. Buradaki sarı renk detayının, daha önce işlenen altın buzağı olayına, yani onların içindeki putperest alışkanlığına yönelik bir uyarı olabileceği tekrar edildi.</w:t>
      </w:r>
    </w:p>
    <w:p>
      <w:pPr>
        <w:pStyle w:val="Heading1"/>
      </w:pPr>
      <w:r>
        <w:t xml:space="preserve">2. “Diriltme” Fiilinin Süreklilik Anlamı</w:t>
      </w:r>
    </w:p>
    <w:p>
      <w:pPr>
        <w:spacing w:after="160" w:line="276"/>
        <w:jc w:val="both"/>
      </w:pPr>
      <w:r>
        <w:t xml:space="preserve">İlk derslerde işlenen bir ilkeye dönülerek, Arapça'da bir ifadenin isim mi fiil mi olduğunun anlamı belirlediği hatırlatıldı. 73. âyetteki “</w:t>
      </w:r>
      <w:r>
        <w:rPr>
          <w:i/>
          <w:iCs/>
        </w:rPr>
        <w:t xml:space="preserve">yuhyî</w:t>
      </w:r>
      <w:r>
        <w:t xml:space="preserve">” (diriltir) fiil formunda geldiği için, yalnız o an oradaki insanlara gösterilen bir mucizeyle sınırlı anlaşılmamalıdır. Diriltmek, Allah'ın zamanla ve mekânla kayıtlı olmayan bir vasfıdır; aynı kudret âhirette de tecelli edecektir. Benzer şekilde “</w:t>
      </w:r>
      <w:r>
        <w:rPr>
          <w:i/>
          <w:iCs/>
        </w:rPr>
        <w:t xml:space="preserve">yürîkum</w:t>
      </w:r>
      <w:r>
        <w:t xml:space="preserve">” (size gösterir) ifadesi de, selim bir kalple bakabilene her zaman diliminde âyet ve delillerin gösterilebileceğini îmâ eder.</w:t>
      </w:r>
    </w:p>
    <w:p>
      <w:pPr>
        <w:pStyle w:val="Heading1"/>
      </w:pPr>
      <w:r>
        <w:t xml:space="preserve">3. “Akıl” Kavramı ve Duyguların Kontrolü</w:t>
      </w:r>
    </w:p>
    <w:p>
      <w:pPr>
        <w:spacing w:after="160" w:line="276"/>
        <w:jc w:val="both"/>
      </w:pPr>
      <w:r>
        <w:t xml:space="preserve">Âyet sonundaki “</w:t>
      </w:r>
      <w:r>
        <w:rPr>
          <w:i/>
          <w:iCs/>
        </w:rPr>
        <w:t xml:space="preserve">lealleküm ta'kılûn</w:t>
      </w:r>
      <w:r>
        <w:t xml:space="preserve">” (akledesiniz diye) ifadesi vesilesiyle “akıl” kavramı işlendi. Kelimenin kökünde “bağlamak” anlamı vardır; nitekim bir hayvanı yahut bir yükü yerinde tutmak için kullanılan bağa da bu kökten bir kelime denir. Buradan hareketle akıl, insanın duygularını (sevgi, nefret, öfke) dengede tutan ve sağlıklı değerlendirmeyi mümkün kılan temel meleke olarak yorumlandı.</w:t>
      </w:r>
    </w:p>
    <w:p>
      <w:pPr>
        <w:spacing w:after="160" w:line="276"/>
        <w:jc w:val="both"/>
      </w:pPr>
      <w:r>
        <w:t xml:space="preserve">Buna göre bir şeyi aşırı sevmek yahut aşırı nefret etmek, o konuda sağlıklı hüküm vermenin önüne geçer; kişi bir süre sonra yanlışını dahi kendince makul gerekçelerle savunur hâle gelir. İsrâiloğulları'nın tavrı bu çerçevede değerlendirildi: asabiyet/kabilecilik ve Hz. Peygamber'e karşı besledikleri nefret, olayı sağlıklı değerlendirmelerinin önünde bir engel olmuştur. Kalplerin mühürlenmesi ile sağlıklı düşünememe arasındaki bağ da bu noktada hatırlatıldı; sağlıklı düşünceye ulaşmak için önce kalbin temizlenmesi ve duyguların makul seviyede tutulması gerektiği vurgulandı.</w:t>
      </w:r>
    </w:p>
    <w:p>
      <w:pPr>
        <w:pStyle w:val="Heading1"/>
      </w:pPr>
      <w:r>
        <w:t xml:space="preserve">4. Kalplerin Katılaşması ve Üç Taş Benzetmesi (74)</w:t>
      </w:r>
    </w:p>
    <w:p>
      <w:pPr>
        <w:spacing w:after="160" w:line="276"/>
        <w:jc w:val="both"/>
      </w:pPr>
      <w:r>
        <w:t xml:space="preserve">74. âyette, bütün bunların ardından kalplerin taş gibi, hatta taştan da katı hâle geldiği bildirilir. Kalbin sertleşmesi; bir çocuğun öldürülmesi, bir ailenin yok edilmesi gibi olaylar karşısında dahi hiçbir şey hissetmez, nasihate kapalı bir hâle gelmek olarak açıklandı. Âyet, taşın bile bir “onuru” olduğunu ima eder: taştan su fışkırır, taş çatlar, taş Allah korkusuyla yuvarlanır — oysa katılaşmış kalp bunu bile yapmaz.</w:t>
      </w:r>
    </w:p>
    <w:p>
      <w:pPr>
        <w:spacing w:after="160" w:line="276"/>
        <w:jc w:val="both"/>
      </w:pPr>
      <w:r>
        <w:t xml:space="preserve">Âyetteki üç taş türü, üç iman/insan tipine benzetilerek yorumlandı (bunların yorum olduğu belirtilerek):</w:t>
      </w:r>
    </w:p>
    <w:p>
      <w:pPr>
        <w:pStyle w:val="ListParagraph"/>
        <w:numPr>
          <w:ilvl w:val="0"/>
          <w:numId w:val="2"/>
        </w:numPr>
        <w:spacing w:after="100" w:line="276"/>
        <w:jc w:val="both"/>
      </w:pPr>
      <w:r>
        <w:t xml:space="preserve">İçinden ırmaklar fışkıran taş: Hazır olan insan. İçinde zaten iyilik, vicdan ve merhamet vardır; bir el dokunması yeter. Câhiliye döneminde de iyi olan, İslâm'la bunu pekiştiren kişilere (ör. Hz. Ebû Bekir) benzetildi.</w:t>
      </w:r>
    </w:p>
    <w:p>
      <w:pPr>
        <w:pStyle w:val="ListParagraph"/>
        <w:numPr>
          <w:ilvl w:val="0"/>
          <w:numId w:val="2"/>
        </w:numPr>
        <w:spacing w:after="100" w:line="276"/>
        <w:jc w:val="both"/>
      </w:pPr>
      <w:r>
        <w:t xml:space="preserve">Çatlayıp su veren taş: Cevheri açığa çıkması için sarsılması, sert bir olayla karşılaşması gereken insan (ör. Hz. Ömer'in dönüşümü).</w:t>
      </w:r>
    </w:p>
    <w:p>
      <w:pPr>
        <w:pStyle w:val="ListParagraph"/>
        <w:numPr>
          <w:ilvl w:val="0"/>
          <w:numId w:val="2"/>
        </w:numPr>
        <w:spacing w:after="100" w:line="276"/>
        <w:jc w:val="both"/>
      </w:pPr>
      <w:r>
        <w:t xml:space="preserve">Allah korkusuyla yuvarlanan taş: Henüz içinden su fışkırmayan ama saygısını koruyup hareket hâlinde kalan insan. Namazını kılan, Kur'an okuyan, fakat aradığı huzuru tam bulamayan; yine de Allah korkusuyla yürümeye devam eden kişiye benzetildi. Bugün çoğumuzun bu üçüncü tipe dahil olabileceği, bunun bir ümit mesajı taşıdığı ifade edildi.</w:t>
      </w:r>
    </w:p>
    <w:p>
      <w:pPr>
        <w:pStyle w:val="Heading1"/>
      </w:pPr>
      <w:r>
        <w:t xml:space="preserve">5. Kur'an'da Kalbin Katılaşmasının Sebepleri</w:t>
      </w:r>
    </w:p>
    <w:p>
      <w:pPr>
        <w:spacing w:after="160" w:line="276"/>
        <w:jc w:val="both"/>
      </w:pPr>
      <w:r>
        <w:t xml:space="preserve">Kalbin katılaşmasının Kur'an'da zikredilen sebeplerinden birkaçı örneklerle sıralandı:</w:t>
      </w:r>
    </w:p>
    <w:p>
      <w:pPr>
        <w:pStyle w:val="Heading2"/>
      </w:pPr>
      <w:r>
        <w:t xml:space="preserve">a) Musibetlerden ibret almamak</w:t>
      </w:r>
    </w:p>
    <w:p>
      <w:pPr>
        <w:spacing w:after="160" w:line="276"/>
        <w:jc w:val="both"/>
      </w:pPr>
      <w:r>
        <w:t xml:space="preserve">En'âm sûresi 42–43. âyetler örnek verildi: Allah, inkârından dönsünler diye kavimleri zorluk ve sıkıntılarla imtihan etmiş; fakat onlar boyun eğeceklerine inatlarını artırmış ve kalpleri katılaşmıştır. Buradan, mü'minin musibet karşısındaki tavrının kıymeti çıkarıldı. Hz. Peygamber'in, mü'minin her hâlinin hayırlı olduğunu — nimette şükür, musibette sabır — bildiren hadisi hatırlatıldı. Başına bir musibet, özellikle bir ölüm geldiğinde kalbi kıpırdamayan kişinin kalbinin katılaşmış olabileceği belirtildi.</w:t>
      </w:r>
    </w:p>
    <w:p>
      <w:pPr>
        <w:pStyle w:val="Heading2"/>
      </w:pPr>
      <w:r>
        <w:t xml:space="preserve">b) Sözünde durmamak</w:t>
      </w:r>
    </w:p>
    <w:p>
      <w:pPr>
        <w:spacing w:after="160" w:line="276"/>
        <w:jc w:val="both"/>
      </w:pPr>
      <w:r>
        <w:t xml:space="preserve">Mâide sûresi 13. âyet örnek verildi: İsrâiloğulları'nın verdikleri sözden dönmeleri sebebiyle lânetlendikleri ve kalplerinin katılaştığı bildirilir. Buradaki sözün hem Allah'a hem de insanlara verilen sözü kapsadığı; verdiği sözü tutmamayı umursamaz hâle gelmenin kalp katılığının bir alâmeti olduğu ifade edildi.</w:t>
      </w:r>
    </w:p>
    <w:p>
      <w:pPr>
        <w:pStyle w:val="Heading2"/>
      </w:pPr>
      <w:r>
        <w:t xml:space="preserve">c) Kutsalı hafife almak</w:t>
      </w:r>
    </w:p>
    <w:p>
      <w:pPr>
        <w:spacing w:after="160" w:line="276"/>
        <w:jc w:val="both"/>
      </w:pPr>
      <w:r>
        <w:t xml:space="preserve">Hadîd sûresi 16. âyet örnek verildi: “İman edenlerin, Allah'ın zikri ve inen hak sebebiyle kalplerinin ürperme zamanı gelmedi mi?” Kendilerine kitap verilenlerin üzerinden uzun zaman geçince kalpleri katılaşmıştır. Bu, dinin gelişinden sonra ilk samimiyetin zamanla aşınması; helâl-haram sınırlarını ciddiye almamaya başlamak olarak açıklandı. Bir değeri ahlâkî/dinî ilke olarak kabul ettiysek, hayatın başından sonuna aynı ciddiyetle taşınması gerektiği; verilen küçük tavizlerin zamanla genişleyerek kalbi katılaştırdığı, bu yüzden nefsi sürekli zorlamak gerektiği vurgulandı.</w:t>
      </w:r>
    </w:p>
    <w:p>
      <w:pPr>
        <w:pStyle w:val="Heading2"/>
      </w:pPr>
      <w:r>
        <w:t xml:space="preserve">d) Allah'ı anmadan çok ve boş konuşmak</w:t>
      </w:r>
    </w:p>
    <w:p>
      <w:pPr>
        <w:spacing w:after="160" w:line="276"/>
        <w:jc w:val="both"/>
      </w:pPr>
      <w:r>
        <w:t xml:space="preserve">Ne dünyaya ne âhirete dokunan, hiçbir anlamı olmayan meseleler üzerine sürekli konuşmanın da kalbin katılaşma sebepleri arasında sayıldığı belirtildi.</w:t>
      </w:r>
    </w:p>
    <w:p>
      <w:pPr>
        <w:pStyle w:val="Heading1"/>
      </w:pPr>
      <w:r>
        <w:t xml:space="preserve">6. İstişare: Ders Formatı</w:t>
      </w:r>
    </w:p>
    <w:p>
      <w:pPr>
        <w:spacing w:after="160" w:line="276"/>
        <w:jc w:val="both"/>
      </w:pPr>
      <w:r>
        <w:t xml:space="preserve">Dersin verimini artırmak üzere, katılımcıların ders esnasında önlerinde bir tefsir metnini açık tutup takip etmeleri önerildi. Uzun metinleri ders sırasında ilk kez okuyup aynı anda dinlemenin verimli olmadığı; bunun yerine belirlenen tefsirlerin PDF olarak paylaşılıp mekânda bulundurulması ve önden takip edilmesi kararlaştırıldı.</w:t>
      </w:r>
    </w:p>
    <w:p>
      <w:pPr>
        <w:pStyle w:val="Heading1"/>
      </w:pPr>
      <w:r>
        <w:t xml:space="preserve">7. Müzakere: Dinî “Heyecan” Üzerine</w:t>
      </w:r>
    </w:p>
    <w:p>
      <w:pPr>
        <w:spacing w:after="160" w:line="276"/>
        <w:jc w:val="both"/>
      </w:pPr>
      <w:r>
        <w:t xml:space="preserve">Dersi veren kişinin, üniversite yıllarındaki ilk heyecanı artık aynı yoğunlukta hissetmediğine dair açılış değerlendirmesi, uzun bir müzakereyi başlattı. Aşağıda katılımcılar arasında dile getirilen farklı görüşler özetlenmektedir; bunlar bir raporlama olup ortamda ifade edilen kanaatleri yansıtır.</w:t>
      </w:r>
    </w:p>
    <w:p>
      <w:pPr>
        <w:pStyle w:val="Heading2"/>
      </w:pPr>
      <w:r>
        <w:t xml:space="preserve">Heyecanın iki farklı anlamı</w:t>
      </w:r>
    </w:p>
    <w:p>
      <w:pPr>
        <w:spacing w:after="160" w:line="276"/>
        <w:jc w:val="both"/>
      </w:pPr>
      <w:r>
        <w:t xml:space="preserve">Bir ayrım öne çıktı: bir yanda meydanlarda, eylemlerde yaşanan “pratik/tepkisel heyecan”; öte yanda kalbin diriliği, Allah anıldığında ürpermesi anlamındaki derin heyecan. İkincisinin her hâlükârda vazgeçilemez olduğu; birincisinin ise mutlaklaştırılmaması, tek gösterge sayılmaması gerektiği belirtildi.</w:t>
      </w:r>
    </w:p>
    <w:p>
      <w:pPr>
        <w:pStyle w:val="Heading2"/>
      </w:pPr>
      <w:r>
        <w:t xml:space="preserve">Tepkisellik ve “düşman üretme” eleştirisi</w:t>
      </w:r>
    </w:p>
    <w:p>
      <w:pPr>
        <w:spacing w:after="160" w:line="276"/>
        <w:jc w:val="both"/>
      </w:pPr>
      <w:r>
        <w:t xml:space="preserve">Bir görüşe göre, Türkiye'deki dindarlığın önemli bir kısmı sürekli tepkisel bir heyecan üzerine kurulmuş; hatta bir düşman yahut bir olay bulup onun üzerinden kimlik inşa etme eğilimi taşımaktadır. Buna örnek olarak, bir mezuniyet töreninde bir öğrencinin âyet açması etrafında kopan tartışmanın aşırı büyütülmesi ve gereksiz bir gündeme dönüştürülmesi verildi. Asıl meselenin, gençlere düşmanlık üretmek yerine, onları “bizim kardeşlerimiz” olarak görüp aynı değerleri onlarla nasıl paylaşabileceğimizi düşünmek olduğu vurgulandı.</w:t>
      </w:r>
    </w:p>
    <w:p>
      <w:pPr>
        <w:pStyle w:val="Heading2"/>
      </w:pPr>
      <w:r>
        <w:t xml:space="preserve">Tepkinin biçimi tartışması</w:t>
      </w:r>
    </w:p>
    <w:p>
      <w:pPr>
        <w:spacing w:after="160" w:line="276"/>
        <w:jc w:val="both"/>
      </w:pPr>
      <w:r>
        <w:t xml:space="preserve">Güncel bir tartışma (dine hakaret ettiği ileri sürülen bir kişi ve benzeri olaylardaki tutuklamalar) üzerinden görüşler ayrıştı. Bir katılımcı, söz konusu kişinin gerçekten ağır bir hakaret edip etmediği konusunda ihtiyatlı olunması gerektiğini savundu. Bir başkası ise açık bir hakaretin söz konusu olduğunu düşündüğünü belirtti. Ortak zeminde şu vurgulandı: bir hakaret varsa buna tepki göstermek meşrûdur; ancak bu tepkinin biçimi, ilmî cevap, tavır alma, protesto veya boykot gibi sivil/cemaatî yollarla olmalıdır. Devletin küçük meselelerde dahi sert tepki verip tutuklamaya gitmesinin ise orantısız bulunduğu, bunun istemeden mağdur ve gündem ürettiği ifade edildi.</w:t>
      </w:r>
    </w:p>
    <w:p>
      <w:pPr>
        <w:pStyle w:val="Heading2"/>
      </w:pPr>
      <w:r>
        <w:t xml:space="preserve">Cuma hutbesi ve “dini tarif etme” endişesi</w:t>
      </w:r>
    </w:p>
    <w:p>
      <w:pPr>
        <w:spacing w:after="160" w:line="276"/>
        <w:jc w:val="both"/>
      </w:pPr>
      <w:r>
        <w:t xml:space="preserve">Bir katılımcı, bir Cuma hutbesinde siyasî bir bağlamda kullanılan bir âyetten rahatsız olduğunu; siyasî çıkarların hutbeler yoluyla dine mal edilmesinin bir sorun olması gerektiğini dile getirdi. Aynı âyetin, bağlamından koparıldığında kişinin aleyhine de kullanılabileceğine dikkat çekildi.</w:t>
      </w:r>
    </w:p>
    <w:p>
      <w:pPr>
        <w:pStyle w:val="Heading2"/>
      </w:pPr>
      <w:r>
        <w:t xml:space="preserve">Ortak sonuç</w:t>
      </w:r>
    </w:p>
    <w:p>
      <w:pPr>
        <w:spacing w:after="160" w:line="276"/>
        <w:jc w:val="both"/>
      </w:pPr>
      <w:r>
        <w:t xml:space="preserve">Tartışmanın sonunda, gündelik tepkiselliği ve mevzu büyütmeyi bir strateji olarak sağlıklı bulmayan; buna karşılık kalbin diriliği anlamındaki heyecanı vazgeçilmez gören bir çizgide buluşuldu. Konuşmayı bölmemek adına ders, kapanış duasıyla sonlandırıldı.</w:t>
      </w:r>
    </w:p>
    <w:p>
      <w:pPr>
        <w:pBdr>
          <w:top w:val="single" w:color="C9A227" w:sz="4" w:space="6"/>
        </w:pBdr>
        <w:spacing w:before="320"/>
      </w:pPr>
      <w:r>
        <w:rPr>
          <w:i/>
          <w:iCs/>
          <w:color w:val="808080"/>
          <w:sz w:val="18"/>
          <w:szCs w:val="18"/>
        </w:rPr>
        <w:t xml:space="preserve">Not: Bu rapor, ders kaydının dökümünden hareketle düzenlenmiş bir özettir. Tefsirî değerlendirmeler ve müzakere bölümündeki görüşler, derste dile getirilen kanaatleri yansıtır.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6"/>
      </w:pBdr>
      <w:tabs>
        <w:tab w:val="right" w:pos="9026"/>
      </w:tabs>
    </w:pPr>
    <w:r>
      <w:rPr>
        <w:color w:val="808080"/>
        <w:sz w:val="16"/>
        <w:szCs w:val="16"/>
      </w:rPr>
      <w:t xml:space="preserve">Tefsir Dersi Raporu — Bakara 72–74</w:t>
    </w:r>
    <w:r>
      <w:rPr>
        <w:color w:val="808080"/>
        <w:sz w:val="16"/>
        <w:szCs w:val="16"/>
      </w:rPr>
      <w:t xml:space="preserve">	Sayfa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jc w:val="center"/>
    </w:pPr>
    <w:rPr>
      <w:rFonts w:ascii="Calibri" w:cs="Calibri" w:eastAsia="Calibri" w:hAnsi="Calibri"/>
      <w:b/>
      <w:bCs/>
      <w:color w:val="1F3864"/>
      <w:sz w:val="40"/>
      <w:szCs w:val="40"/>
    </w:rPr>
  </w:style>
  <w:style w:type="paragraph" w:styleId="Heading1">
    <w:name w:val="Heading 1"/>
    <w:basedOn w:val="Normal"/>
    <w:next w:val="Normal"/>
    <w:qFormat/>
    <w:pPr>
      <w:pBdr>
        <w:bottom w:val="single" w:color="C9A227" w:sz="6" w:space="4"/>
      </w:pBdr>
      <w:spacing w:after="14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Tefsir Dersi Raporu — Bakara Sûresi 72–74</dc:title>
  <dc:creator>Tefsir Dersi</dc:creator>
  <cp:lastModifiedBy>Un-named</cp:lastModifiedBy>
  <cp:revision>1</cp:revision>
  <dcterms:created xsi:type="dcterms:W3CDTF">2026-07-14T09:06:33.464Z</dcterms:created>
  <dcterms:modified xsi:type="dcterms:W3CDTF">2026-07-14T09:06:33.478Z</dcterms:modified>
</cp:coreProperties>
</file>

<file path=docProps/custom.xml><?xml version="1.0" encoding="utf-8"?>
<Properties xmlns="http://schemas.openxmlformats.org/officeDocument/2006/custom-properties" xmlns:vt="http://schemas.openxmlformats.org/officeDocument/2006/docPropsVTypes"/>
</file>