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Görüşme Özeti</w:t>
      </w:r>
    </w:p>
    <w:p>
      <w:pPr>
        <w:spacing w:after="40"/>
        <w:jc w:val="center"/>
      </w:pPr>
      <w:r>
        <w:rPr>
          <w:color w:val="2E5496"/>
          <w:sz w:val="25"/>
        </w:rPr>
        <w:t>İlayda Balkan ile gerçekleştirilen kuyruk riski (Tail Value at Risk) bilgilendirme görüşmesi</w:t>
      </w:r>
    </w:p>
    <w:p>
      <w:pPr>
        <w:spacing w:after="240"/>
        <w:jc w:val="center"/>
        <w:pBdr>
          <w:bottom w:val="single" w:sz="6" w:space="6" w:color="C9A227"/>
        </w:pBdr>
      </w:pPr>
      <w:r>
        <w:rPr>
          <w:color w:val="808080"/>
          <w:sz w:val="18"/>
        </w:rPr>
        <w:t>16 Ekim 2026  •  Süre: yaklaşık 23 dakika</w:t>
      </w:r>
    </w:p>
    <w:p>
      <w:pPr>
        <w:pStyle w:val="Heading1"/>
      </w:pPr>
      <w:r>
        <w:t>1. Görüşmenin Amacı ve Kapsamı</w:t>
      </w:r>
    </w:p>
    <w:p>
      <w:pPr>
        <w:jc w:val="both"/>
      </w:pPr>
      <w:r>
        <w:rPr/>
        <w:t xml:space="preserve">Görüşme, bir katılımcının incelediği sunumdaki </w:t>
      </w:r>
      <w:r>
        <w:rPr>
          <w:b/>
        </w:rPr>
        <w:t>kuyruk riski</w:t>
      </w:r>
      <w:r>
        <w:rPr/>
        <w:t xml:space="preserve"> kavramını tam anlayamaması üzerine istenen kısa bir açıklama oturumudur. Katılımcı, mevcut modelleme çıktılarının dışında kuyruk riskine neden dikkat edilmesi gerektiğini ve bu kavramdan ne anlaşılması gerektiğini sormuştur. Açıklama ekran paylaşımı ve sunum görselleri üzerinden yapılmıştır.</w:t>
      </w:r>
    </w:p>
    <w:p>
      <w:pPr>
        <w:pStyle w:val="Heading1"/>
      </w:pPr>
      <w:r>
        <w:t>2. Value at Risk ve Dönüş Süresi Mantığı</w:t>
      </w:r>
    </w:p>
    <w:p>
      <w:pPr>
        <w:jc w:val="both"/>
      </w:pPr>
      <w:r>
        <w:rPr/>
        <w:t>Açıklama, muhataplara tanıdık olan mevcut raporlama çıktılarından başlamıştır.</w:t>
      </w:r>
    </w:p>
    <w:p>
      <w:pPr>
        <w:pStyle w:val="ListBullet"/>
      </w:pPr>
      <w:r>
        <w:rPr/>
        <w:t xml:space="preserve">Şirkete verilen raporlarda dönüş süresine (return period) göre değerler sunulmaktadır; bu değerler </w:t>
      </w:r>
      <w:r>
        <w:rPr>
          <w:b/>
        </w:rPr>
        <w:t>Value at Risk (VaR)</w:t>
      </w:r>
      <w:r>
        <w:rPr/>
        <w:t xml:space="preserve"> niteliğindedir.</w:t>
      </w:r>
    </w:p>
    <w:p>
      <w:pPr>
        <w:pStyle w:val="ListBullet"/>
      </w:pPr>
      <w:r>
        <w:rPr/>
        <w:t>Yaklaşık 10.000 yıllık deprem simülasyonuyla bir hasar dağılımı elde edilir. Örneğin 200 yılda bir dönüş süresine karşılık gelen hasar 200 milyon TL ise, bu hasar her yıl %0,5 olasılıkla aşılması beklenen hasardır.</w:t>
      </w:r>
    </w:p>
    <w:p>
      <w:pPr>
        <w:pStyle w:val="ListBullet"/>
      </w:pPr>
      <w:r>
        <w:rPr/>
        <w:t>SEDDK 250 yıllık dönüş süresine (yıllık yaklaşık %0,4 olasılık) bakmaktadır; bu nedenle Solvency yaklaşımına göre biraz daha muhafazakâr davranmaktadır. Avrupa Birliği düzenlemesi ise 200 yıllık değeri esas almaktadır.</w:t>
      </w:r>
    </w:p>
    <w:p>
      <w:pPr>
        <w:pStyle w:val="ListBullet"/>
      </w:pPr>
      <w:r>
        <w:rPr/>
        <w:t>Dönüş süresi ifadesi tamamen olasılığa dayanır: "200 yılda bir", yıllık aşılma olasılığının %0,5 olmasının başka bir söylenişidir. 10.000 yıl ise %0,01'e karşılık gelir.</w:t>
      </w:r>
    </w:p>
    <w:p>
      <w:pPr>
        <w:pStyle w:val="Heading1"/>
      </w:pPr>
      <w:r>
        <w:t>3. Tail Value at Risk (TVaR) ve Farkı</w:t>
      </w:r>
    </w:p>
    <w:p>
      <w:pPr>
        <w:pStyle w:val="ListBullet"/>
      </w:pPr>
      <w:r>
        <w:rPr/>
        <w:t>VaR yalnızca dağılım üzerindeki tek bir noktayı verir; o noktadan sonra dağılımın nasıl seyrettiği, yani daha uç olayların ne kadar büyük olabileceği hakkında bilgi vermez.</w:t>
      </w:r>
    </w:p>
    <w:p>
      <w:pPr>
        <w:pStyle w:val="ListBullet"/>
      </w:pPr>
      <w:r>
        <w:rPr/>
        <w:t>Örnek olarak, 200 yıllık VaR değeri aynı olan iki portföyden turuncu ile gösterilen B portföyü, 200 yılın ötesindeki simülasyonlarda çok daha büyük hasar üretebildiği için gerçekte daha risklidir.</w:t>
      </w:r>
    </w:p>
    <w:p>
      <w:pPr>
        <w:pStyle w:val="ListBullet"/>
      </w:pPr>
      <w:r>
        <w:rPr>
          <w:b/>
        </w:rPr>
        <w:t>TVaR</w:t>
      </w:r>
      <w:r>
        <w:rPr/>
        <w:t>, eşik değerden (örneğin 200 yıl) simülasyon sonuna kadar olan tüm uç hasarların ortalamasını alır. Anlatılan örnekte bir portföyde bu ortalama yaklaşık 267 milyon TL, diğerinde ise (uç değerleri 800–900 milyon TL civarına çıkan portföy) yaklaşık 533 milyon TL olarak gösterilmiştir.</w:t>
      </w:r>
    </w:p>
    <w:p>
      <w:pPr>
        <w:pStyle w:val="ListBullet"/>
      </w:pPr>
      <w:r>
        <w:rPr/>
        <w:t xml:space="preserve">Katılımcı başlangıçta TVaR'ı "eşiğin ötesindeki en büyük olayları dikkate alıyor" biçiminde anlamıştır. Sunan taraf bunun tek bir en büyük olay değil, eşiğin ötesindeki tüm olayların </w:t>
      </w:r>
      <w:r>
        <w:rPr>
          <w:b/>
        </w:rPr>
        <w:t>ortalaması</w:t>
      </w:r>
      <w:r>
        <w:rPr/>
        <w:t xml:space="preserve"> olduğunu belirtmiştir.</w:t>
      </w:r>
    </w:p>
    <w:p>
      <w:pPr>
        <w:pStyle w:val="Heading1"/>
      </w:pPr>
      <w:r>
        <w:t>4. Neden Şimdi Gündemde?</w:t>
      </w:r>
    </w:p>
    <w:p>
      <w:pPr>
        <w:pStyle w:val="ListBullet"/>
      </w:pPr>
      <w:r>
        <w:rPr/>
        <w:t>Katılımcı, bu konunun daha önce gündemde olmadığını, şimdi neden konuşulduğunu sormuştur. Cevap: karar mekanizmalarında yalnızca dönüş süresi bazlı kayıp değerlendirmesinin yeterli olmayabileceği yönünde bir tartışma vardır.</w:t>
      </w:r>
    </w:p>
    <w:p>
      <w:pPr>
        <w:pStyle w:val="ListBullet"/>
      </w:pPr>
      <w:r>
        <w:rPr/>
        <w:t>Katılımcı, Solvency tarafında kuyruk riskinin dikkate alındığını Sinem Hoca'nın çalışmasından anladığını söylemiştir. Sunan taraf, bildiği kadarıyla Solvency'de 200 yıllık VaR'a bakıldığını, orada TVaR hesabının kapsamda olduğunu bilmediğini belirtmiştir. Solvency'nin depremden çok kombine bir risk yapısına sahip olduğu, Türkiye'de ise depremin ağırlık kazandığı ifade edilmiştir.</w:t>
      </w:r>
    </w:p>
    <w:p>
      <w:pPr>
        <w:pStyle w:val="ListBullet"/>
      </w:pPr>
      <w:r>
        <w:rPr/>
        <w:t>Sinem Hoca'nın savunduğu yaklaşım, yalnızca tek bir olasılığa değil, onun ötesine de bakan bir koruma yapısı oluşturulması şeklinde aktarılmıştır.</w:t>
      </w:r>
    </w:p>
    <w:p>
      <w:pPr>
        <w:pStyle w:val="Heading1"/>
      </w:pPr>
      <w:r>
        <w:t>5. Mevcut Modelleme Çıktılarında Durum</w:t>
      </w:r>
    </w:p>
    <w:p>
      <w:pPr>
        <w:pStyle w:val="ListBullet"/>
      </w:pPr>
      <w:r>
        <w:rPr/>
        <w:t>Kullanılan katastrofik risk modelinden her çıktıda TVaR değeri verilebilmektedir; aynı durum reasürans tarafı modellemesi için de geçerlidir.</w:t>
      </w:r>
    </w:p>
    <w:p>
      <w:pPr>
        <w:pStyle w:val="ListBullet"/>
      </w:pPr>
      <w:r>
        <w:rPr/>
        <w:t>Tekil risk (single risk) çıktısında TVaR şu an ayrıca gösterilmemektedir; hesaplama arka planda yapılmaktadır. Sunan taraftaki bir katılımcı da bunu doğrulamış ve gösterimin en kısa sürede geliştirmelerle ekleneceğini söylemiştir.</w:t>
      </w:r>
    </w:p>
    <w:p>
      <w:pPr>
        <w:pStyle w:val="ListBullet"/>
      </w:pPr>
      <w:r>
        <w:rPr/>
        <w:t>Retro yenilemesi için yapılacak modellemede TVaR'ın ayrıca verilip verilmeyeceği konuşulmamıştır; Sinan Hoca ile görüşülmesi gerektiği, ancak çıktının sağlanabileceği belirtilmiştir.</w:t>
      </w:r>
    </w:p>
    <w:p>
      <w:pPr>
        <w:pStyle w:val="Heading1"/>
      </w:pPr>
      <w:r>
        <w:t>6. TVaR Değerinin Kullanımı</w:t>
      </w:r>
    </w:p>
    <w:p>
      <w:pPr>
        <w:jc w:val="both"/>
      </w:pPr>
      <w:r>
        <w:rPr/>
        <w:t>Görüşmenin sonunda TVaR değerinin nasıl kullanılacağı üzerinde durulmuştur.</w:t>
      </w:r>
    </w:p>
    <w:p>
      <w:pPr>
        <w:pStyle w:val="ListBullet"/>
      </w:pPr>
      <w:r>
        <w:rPr/>
        <w:t>Hesaplanan değerin tek başına koruma düzeyini belirlemediği, daha çok sermaye yeterliliği tarafında bir bileşen olarak ele alınacağı ifade edilmiştir.</w:t>
      </w:r>
    </w:p>
    <w:p>
      <w:pPr>
        <w:pStyle w:val="ListBullet"/>
      </w:pPr>
      <w:r>
        <w:rPr/>
        <w:t>SEDDK'nın 250 yıllık PML'in aşılamayacağı yönündeki yaklaşımında doğrudan bir TVaR karşılığı bulunmadığından, değerin nasıl kullanılacağı ayrıca düşünülmelidir. Bunun ilgili yönetmelikleri etkileyebileceği dile getirilmiştir.</w:t>
      </w:r>
    </w:p>
    <w:p>
      <w:pPr>
        <w:pStyle w:val="Heading1"/>
      </w:pPr>
      <w:r>
        <w:t>7. Kararlaştırılan Sonraki Adımlar</w:t>
      </w:r>
    </w:p>
    <w:p>
      <w:pPr>
        <w:pStyle w:val="ListBullet"/>
      </w:pPr>
      <w:r>
        <w:rPr/>
        <w:t>Katılımcı, konuları Utku Bey'e ve kendi üst yönetimine aktaracağını belirtmiştir.</w:t>
      </w:r>
    </w:p>
    <w:p>
      <w:pPr>
        <w:pStyle w:val="ListBullet"/>
      </w:pPr>
      <w:r>
        <w:rPr/>
        <w:t>Ek olarak ne tür veri sağlanabileceği konusunda taraflar daha sonra tekrar haberleşecektir.</w:t>
      </w:r>
    </w:p>
    <w:p>
      <w:pPr>
        <w:pStyle w:val="ListBullet"/>
      </w:pPr>
      <w:r>
        <w:rPr/>
        <w:t>Retro yenileme modellemesinde TVaR çıktısının verilip verilmeyeceği Sinan Hoca ile görüşülerek netleştirilecektir. Sorumlu: Belirtilmedi.</w:t>
      </w:r>
    </w:p>
    <w:p>
      <w:pPr>
        <w:pStyle w:val="Heading1"/>
      </w:pPr>
      <w:r>
        <w:t>8. Genel Değerlendirme</w:t>
      </w:r>
    </w:p>
    <w:p>
      <w:pPr>
        <w:jc w:val="both"/>
      </w:pPr>
      <w:r>
        <w:rPr/>
        <w:t>Görüşme, karışık olan kuyruk riski kavramının VaR ile TVaR farkı üzerinden netleştirilmesini sağlamıştır. Katılımcı, hazırlanan iki slaytın anlamasına çok yardımcı olduğunu söylemiş ve konunun yönetmelik ve sermaye yeterliliği boyutunun ileride ayrıca ele alınabileceği anlaşılmıştır.</w:t>
      </w:r>
    </w:p>
    <w:p>
      <w:pPr>
        <w:spacing w:before="240"/>
      </w:pPr>
      <w:r>
        <w:rPr>
          <w:i/>
          <w:color w:val="808080"/>
          <w:sz w:val="18"/>
        </w:rPr>
        <w:t>Not: Bu rapor, görüşme ses kaydının dökümünden düzenlenmiştir. Kayıt başlangıcı eksiktir (konuşma ortada başlamaktadır) ve konuşmacılar ayrıştırılmamıştır. "Ket mod" ifadesi katastrofik risk modeli, "Value et risk" ifadesi Value at Risk, "Tel/Teal value" ifadesi Tail Value at Risk, "SDDK/CDDK" ifadesi SEDDK, "ritem period" ifadesi dönüş süresi (return period) olarak düzeltilmiştir. "OIP/O ipi" ifadesi kayıtta net değildir; dönüş süresine göre verilen kayıp (VaR) çıktıları olarak anlaşılmıştır. Görüşme tarihi dosya adından (16 Ekim 2026) alınmıştır; kişi adları kayıttan aktarılmıştır.</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Görüşme Özeti — İlayda Balkan</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Görüşme Özeti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