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eastAsia="Calibri" w:cs="Calibri"/>
          <w:b/>
          <w:color w:val="1F3864"/>
          <w:sz w:val="38"/>
        </w:rPr>
        <w:t>Görüşme Özeti</w:t>
      </w:r>
    </w:p>
    <w:p>
      <w:pPr>
        <w:spacing w:after="40"/>
        <w:jc w:val="center"/>
      </w:pPr>
      <w:r>
        <w:rPr>
          <w:color w:val="2E5496"/>
          <w:sz w:val="25"/>
        </w:rPr>
        <w:t>Makale taslağının değerlendirilmesi ve uygulama bölümünün planlanması görüşmesi</w:t>
      </w:r>
    </w:p>
    <w:p>
      <w:pPr>
        <w:spacing w:after="240"/>
        <w:jc w:val="center"/>
        <w:pBdr>
          <w:bottom w:val="single" w:sz="6" w:space="6" w:color="C9A227"/>
        </w:pBdr>
      </w:pPr>
      <w:r>
        <w:rPr>
          <w:color w:val="808080"/>
          <w:sz w:val="18"/>
        </w:rPr>
        <w:t>6 Ağustos 2026</w:t>
      </w:r>
    </w:p>
    <w:p>
      <w:pPr>
        <w:pStyle w:val="Heading1"/>
      </w:pPr>
      <w:r>
        <w:t>1. Görüşmenin Amacı ve Kapsamı</w:t>
      </w:r>
    </w:p>
    <w:p>
      <w:pPr>
        <w:jc w:val="both"/>
      </w:pPr>
      <w:r>
        <w:rPr/>
        <w:t>Görüşmede (yaklaşık 21 dakika), bir katılımcı tarafından hazırlanan makale taslağı ekran paylaşımı ile gözden geçirildi. Taslağın kuramsal kısmının güçlü bulunması üzerine asıl gündem, makaleye bir uygulama bölümünün nasıl ekleneceği, bu uygulamanın hangi araçla (şirketin kendi felaket modeli mi, dışarıdan bir yazılım mı) yapılacağı ve yayın için hangi dergilerin düşünülebileceği oldu.</w:t>
      </w:r>
    </w:p>
    <w:p>
      <w:pPr>
        <w:pStyle w:val="Heading1"/>
      </w:pPr>
      <w:r>
        <w:t>2. Taslağın Değerlendirmesi</w:t>
      </w:r>
    </w:p>
    <w:p>
      <w:pPr>
        <w:pStyle w:val="ListBullet"/>
      </w:pPr>
      <w:r>
        <w:rPr/>
        <w:t>Taslak, kuramı ayrıntılı ve anlaşılır biçimde anlatıyor; formüller ve örnekler yer alıyor, farklılıklar gösteriliyor.</w:t>
      </w:r>
    </w:p>
    <w:p>
      <w:pPr>
        <w:pStyle w:val="ListBullet"/>
      </w:pPr>
      <w:r>
        <w:rPr/>
        <w:t>İngilizcesi ve anlatımı yeterli bulundu; görüşmeyi yöneten kişi taslaktan keyif aldığını ve çok şey öğrendiğini belirtti.</w:t>
      </w:r>
    </w:p>
    <w:p>
      <w:pPr>
        <w:pStyle w:val="ListBullet"/>
      </w:pPr>
      <w:r>
        <w:rPr/>
        <w:t>Bir dergiye gönderilmesi için taslakta bir uygulama bölümünün de bulunması gerektiği değerlendirildi.</w:t>
      </w:r>
    </w:p>
    <w:p>
      <w:pPr>
        <w:pStyle w:val="Heading1"/>
      </w:pPr>
      <w:r>
        <w:t>3. Uygulama Bölümü: Kapsam ve Araç Seçimi</w:t>
      </w:r>
    </w:p>
    <w:p>
      <w:pPr>
        <w:jc w:val="both"/>
      </w:pPr>
      <w:r>
        <w:rPr/>
        <w:t>Başlangıçta uygulamanın loss (hasar) tarafında düşünüldüğü; ancak kapsamın genişletilmesi gerektiği, dergiye gönderim aşamasında buna ihtiyaç duyulacağı hatırlatıldı.</w:t>
      </w:r>
    </w:p>
    <w:p>
      <w:pPr>
        <w:pStyle w:val="Heading2"/>
      </w:pPr>
      <w:r>
        <w:t>3.1. Şirketin kendi felaket modeli ve OpenQuake</w:t>
      </w:r>
    </w:p>
    <w:p>
      <w:pPr>
        <w:pStyle w:val="ListBullet"/>
      </w:pPr>
      <w:r>
        <w:rPr/>
        <w:t>Uygulamanın şirketin kendi felaket (cat) modeli üzerinden yapılması tercih edildi: şirketin kendi hesap motoru varken dışarıdaki bir açık kaynak yazılımla çalışmak hem şirket adına hem de tanıtım açısından uygun görülmedi. Ayrıca makalede bu modelin kullanıldığının belirtilmesinin bir tür tanıtım sağlayabileceği söylendi.</w:t>
      </w:r>
    </w:p>
    <w:p>
      <w:pPr>
        <w:pStyle w:val="ListBullet"/>
      </w:pPr>
      <w:r>
        <w:rPr/>
        <w:t>Makale yazarı, açık kaynak yazılımda gerekli işlevlerin bulunmayabileceğini ve kodu kendisinin yazmayı düşündüğünü belirtti. Kayıtta açık kaynak yazılımın adı bozuk geçmektedir; bağlamdan OpenQuake olduğu anlaşılmıştır.</w:t>
      </w:r>
    </w:p>
    <w:p>
      <w:pPr>
        <w:pStyle w:val="ListBullet"/>
      </w:pPr>
      <w:r>
        <w:rPr/>
        <w:t>Cat modele entegrasyon zor olursa, hasar kısmı dışarıda ayrı kodla yazılabilecek; ancak modelin mekânsal korelasyon yöntemi sonunda kendi modele de eklenmek zorunda kalacak. Entegrasyonun, uygun zamanda yapılması konusunda mutabık kalındı.</w:t>
      </w:r>
    </w:p>
    <w:p>
      <w:pPr>
        <w:pStyle w:val="Heading2"/>
      </w:pPr>
      <w:r>
        <w:t>3.2. Önerilen uygulama planı</w:t>
      </w:r>
    </w:p>
    <w:p>
      <w:pPr>
        <w:pStyle w:val="ListBullet"/>
      </w:pPr>
      <w:r>
        <w:rPr/>
        <w:t>Önce yazarın kendi geliştirme ortamında basit bir kodla çalışmak; ancak portföyün (kümülün) gerçekçi olması. Bu amaçla fiktif ama gerçekçi bir kümül hazırlanacak.</w:t>
      </w:r>
    </w:p>
    <w:p>
      <w:pPr>
        <w:pStyle w:val="ListBullet"/>
      </w:pPr>
      <w:r>
        <w:rPr/>
        <w:t>Hesaplar, cat modelin sunucularında (RAM ihtiyacı nedeniyle) çalıştırılacak.</w:t>
      </w:r>
    </w:p>
    <w:p>
      <w:pPr>
        <w:pStyle w:val="ListBullet"/>
      </w:pPr>
      <w:r>
        <w:rPr/>
        <w:t>Yer hareketi korelasyonu ve hasar hesabı birlikte ele alınacak; karşılaştırma için yalnızca mesafeyi dikkate alan model ile mesafeye ek olarak açısal mesafeyi de dikkate alan modelin sonuçları ayrı ayrı gösterilerek bu etkilerin ortaya konması planlandı.</w:t>
      </w:r>
    </w:p>
    <w:p>
      <w:pPr>
        <w:pStyle w:val="ListBullet"/>
      </w:pPr>
      <w:r>
        <w:rPr/>
        <w:t>Şirketin mevcut kopula yöntemi ile yapılan karşılaştırmanın da makalede bir yerde anlatılması değerli bulundu; zaman elverirse ek bölüm olarak eklenecek, aksi hâlde kısa bir not olarak ayrı hazırlanabilecek.</w:t>
      </w:r>
    </w:p>
    <w:p>
      <w:pPr>
        <w:pStyle w:val="ListBullet"/>
      </w:pPr>
      <w:r>
        <w:rPr/>
        <w:t>Senaryo bazlı mı stokastik mi çalışılacağı konusunda her iki yolun da mümkün olduğu, kararın makale yazarına bırakıldığı belirtildi. Örnek senaryo olarak İstanbul/Marmara stres testi anıldı.</w:t>
      </w:r>
    </w:p>
    <w:p>
      <w:pPr>
        <w:pStyle w:val="Heading1"/>
      </w:pPr>
      <w:r>
        <w:t>4. Yayın Seçenekleri</w:t>
      </w:r>
    </w:p>
    <w:p>
      <w:pPr>
        <w:pStyle w:val="ListBullet"/>
      </w:pPr>
      <w:r>
        <w:rPr/>
        <w:t>Dergi seçiminde sayfa sayısı ve baskı biçimi (siyah-beyaz ya da renkli) nedeniyle ücretlerin hızla artabildiği; bu sebeple sayfa sayısının çok uzamaması gerektiği belirtildi.</w:t>
      </w:r>
    </w:p>
    <w:p>
      <w:pPr>
        <w:pStyle w:val="ListBullet"/>
      </w:pPr>
      <w:r>
        <w:rPr/>
        <w:t>Şirket üzerinden yayın yapılırsa yönetim (icra) kurulundan karar çıkarılabileceği; daha makul ücretli dergilerin de seçenek olduğu ve üyelik halinde ücretin şirket tarafından karşılanabileceği ifade edildi.</w:t>
      </w:r>
    </w:p>
    <w:p>
      <w:pPr>
        <w:pStyle w:val="ListBullet"/>
      </w:pPr>
      <w:r>
        <w:rPr/>
        <w:t>Dergi adları kayıtta bozuk geçtiğinden (ör. “Structural Dynamics” benzeri bir derginin anıldığı anlaşılıyor) kesin bir liste verilememiştir.</w:t>
      </w:r>
    </w:p>
    <w:p>
      <w:pPr>
        <w:pStyle w:val="Heading1"/>
      </w:pPr>
      <w:r>
        <w:t>5. Kararlaştırılan Sonraki Adımlar</w:t>
      </w:r>
    </w:p>
    <w:p>
      <w:pPr>
        <w:pStyle w:val="ListBullet"/>
      </w:pPr>
      <w:r>
        <w:rPr/>
        <w:t>Makale yazarı, uygulama kısmına yer hareketi korelasyonu (mesafe ve açısal mesafe karşılaştırması) ve hasar kısmıyla başlayacak.</w:t>
      </w:r>
    </w:p>
    <w:p>
      <w:pPr>
        <w:pStyle w:val="ListBullet"/>
      </w:pPr>
      <w:r>
        <w:rPr/>
        <w:t>Çalışma planı hazırlanıp birden fazla yazar olduğundan görevler diğer yazarlar arasında paylaştırılacak (kod yazımı dışındaki derleme ve benzeri işler); yazarlar iletişim hâlinde kalacak.</w:t>
      </w:r>
    </w:p>
    <w:p>
      <w:pPr>
        <w:pStyle w:val="ListBullet"/>
      </w:pPr>
      <w:r>
        <w:rPr/>
        <w:t>Sonuçlar elde edildikçe tekrar görüşülecek; kısa bir not (probabilistic loss ile ilgili bir başlık anıldı, kayıtta net değil) ayrıca değerlendirilecek.</w:t>
      </w:r>
    </w:p>
    <w:p>
      <w:pPr>
        <w:pStyle w:val="ListBullet"/>
      </w:pPr>
      <w:r>
        <w:rPr/>
        <w:t>Yazar, diğer okumaları ertesi sabah yapacağını ve bir başka katılımcıyla görüşeceğini belirtti.</w:t>
      </w:r>
    </w:p>
    <w:p>
      <w:pPr>
        <w:pStyle w:val="Heading1"/>
      </w:pPr>
      <w:r>
        <w:t>6. Genel Değerlendirme</w:t>
      </w:r>
    </w:p>
    <w:p>
      <w:pPr>
        <w:jc w:val="both"/>
      </w:pPr>
      <w:r>
        <w:rPr/>
        <w:t>Görüşme sonunda makalenin iyi bir makale olduğu, uygulama bölümüyle dergiye gönderilebilir hâle geleceği değerlendirmesi paylaşıldı. Uygulamanın, şirketin kendi hesap motoruna da katkı sağlayacak şekilde kurgulanması ve zamana göre kapsamın genişletilmesi esas alındı.</w:t>
      </w:r>
    </w:p>
    <w:p>
      <w:pPr>
        <w:spacing w:before="240"/>
      </w:pPr>
      <w:r>
        <w:rPr>
          <w:i/>
          <w:color w:val="808080"/>
          <w:sz w:val="18"/>
        </w:rPr>
        <w:t>Not: Bu rapor, görüşme ses kaydının dökümünden düzenlenmiştir. Döküm makine çıktısıdır ve konuşmacıları ayırmaz; ayrıca bazı bölümleri (dergi adları, yazılım adı, kişi isimleri) bozuktur. Bozuk ifadeler bağlamdan düzeltilmiş ya da rapora alınmamıştır. Görüşme tarihi dosya adından (260806) alınmıştır.</w:t>
      </w:r>
    </w:p>
    <w:sectPr w:rsidR="00FC693F" w:rsidRPr="0006063C" w:rsidSect="00034616">
      <w:footerReference w:type="default" r:id="rId9"/>
      <w:pgSz w:w="11906" w:h="16838"/>
      <w:pgMar w:top="1417" w:right="1417" w:bottom="1417" w:left="1417" w:header="72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C9A227"/>
      </w:pBdr>
      <w:tabs>
        <w:tab w:pos="9071" w:val="right"/>
      </w:tabs>
    </w:pPr>
    <w:r/>
    <w:r>
      <w:rPr>
        <w:color w:val="808080"/>
        <w:sz w:val="16"/>
      </w:rPr>
      <w:t>Görüşme Özeti — Makale Değerlendirmesi</w:t>
    </w:r>
    <w:r>
      <w:rPr>
        <w:color w:val="808080"/>
        <w:sz w:val="16"/>
      </w:rPr>
      <w:tab/>
      <w:t xml:space="preserve">Sayfa </w:t>
    </w:r>
    <w:r>
      <w:rPr>
        <w:color w:val="808080"/>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30"/>
      <w:outlineLvl w:val="0"/>
      <w:pBdr>
        <w:bottom w:val="single" w:sz="6" w:space="4" w:color="C9A227"/>
      </w:pBdr>
    </w:pPr>
    <w:rPr>
      <w:rFonts w:ascii="Calibri" w:hAnsi="Calibri" w:eastAsia="Calibri" w:cs="Calibri"/>
      <w:b/>
      <w:bCs/>
      <w:i w:val="0"/>
      <w:color w:val="1F3864"/>
      <w:sz w:val="27"/>
      <w:szCs w:val="28"/>
    </w:rPr>
  </w:style>
  <w:style w:type="paragraph" w:styleId="Heading2">
    <w:name w:val="heading 2"/>
    <w:basedOn w:val="Normal"/>
    <w:next w:val="Normal"/>
    <w:link w:val="Heading2Char"/>
    <w:uiPriority w:val="9"/>
    <w:unhideWhenUsed/>
    <w:qFormat/>
    <w:rsid w:val="00FC693F"/>
    <w:pPr>
      <w:keepNext/>
      <w:keepLines/>
      <w:spacing w:before="180" w:after="90"/>
      <w:outlineLvl w:val="1"/>
    </w:pPr>
    <w:rPr>
      <w:rFonts w:ascii="Calibri" w:hAnsi="Calibri" w:eastAsia="Calibri" w:cs="Calibri"/>
      <w:b/>
      <w:bCs/>
      <w:i w:val="0"/>
      <w:color w:val="2E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jc w:val="both"/>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jc w:val="both"/>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Görüşme Özeti</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