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eastAsia="Calibri" w:cs="Calibri"/>
          <w:b/>
          <w:color w:val="1F3864"/>
          <w:sz w:val="38"/>
        </w:rPr>
        <w:t>Türkre – Munich Re Meeting Minutes</w:t>
      </w:r>
    </w:p>
    <w:p>
      <w:pPr>
        <w:spacing w:after="40"/>
        <w:jc w:val="center"/>
      </w:pPr>
      <w:r>
        <w:rPr>
          <w:color w:val="2E5496"/>
          <w:sz w:val="25"/>
        </w:rPr>
        <w:t>Parametric earthquake cover: Van event review, PGA trigger and payout structure</w:t>
      </w:r>
    </w:p>
    <w:p>
      <w:pPr>
        <w:spacing w:after="240"/>
        <w:jc w:val="center"/>
        <w:pBdr>
          <w:bottom w:val="single" w:sz="6" w:space="6" w:color="C9A227"/>
        </w:pBdr>
      </w:pPr>
      <w:r>
        <w:rPr>
          <w:color w:val="808080"/>
          <w:sz w:val="18"/>
        </w:rPr>
        <w:t>23 October 2026  •  Participants: Türkre: Sinan, Ege • Munich Re: Christian • Others heard on the call (affiliation not stated): Henry, Paul</w:t>
      </w:r>
    </w:p>
    <w:p>
      <w:pPr>
        <w:jc w:val="both"/>
      </w:pPr>
      <w:r>
        <w:rPr/>
        <w:t>Source: English meeting transcript, approximately 53 minutes. Names and technical terms are standardized where identifiable. The transcript does not separate speakers, so statements are attributed to a side only where the context makes this clear.</w:t>
      </w:r>
    </w:p>
    <w:p>
      <w:pPr>
        <w:pStyle w:val="Heading1"/>
      </w:pPr>
      <w:r>
        <w:t>1. Executive Summary</w:t>
      </w:r>
    </w:p>
    <w:p>
      <w:pPr>
        <w:pStyle w:val="ListBullet"/>
      </w:pPr>
      <w:r>
        <w:rPr/>
        <w:t>The Munich Re side walked through a back-test of the proposed parametric structure on the Van earthquake: a fairly large event that would have produced only a low payout (nearly EUR 12 million) because observed PGA in most cells stayed below the trigger.</w:t>
      </w:r>
    </w:p>
    <w:p>
      <w:pPr>
        <w:pStyle w:val="ListBullet"/>
      </w:pPr>
      <w:r>
        <w:rPr/>
        <w:t>The payout function triggers at a PGA of 0.35 g and pays 20% of the cell sublimit between 0.35 and 0.40 g; the design reaches 100% of cell value at high PGA. Ground motion is taken from USGS ShakeMaps, with AFAD as the backup source.</w:t>
      </w:r>
    </w:p>
    <w:p>
      <w:pPr>
        <w:pStyle w:val="ListBullet"/>
      </w:pPr>
      <w:r>
        <w:rPr/>
        <w:t>Sinan (Türkre) challenged the use of a single payout table for all exposure types, the use of PGA, the MMI cross-check and the basis risk between USGS-reported and model-estimated ground motion. Munich Re and the structuring team explained the rationale: PGA experience across more than 10 contracts, avoidance of overfitting to any single model, and a balance between price, risk capital and layer performance.</w:t>
      </w:r>
    </w:p>
    <w:p>
      <w:pPr>
        <w:pStyle w:val="ListBullet"/>
      </w:pPr>
      <w:r>
        <w:rPr/>
        <w:t>Munich Re stated that the attachment point is considered appropriate for mid to large events and that regional or per-grid payout tables are technically possible but would add cost, sensitivity and administrative complexity.</w:t>
      </w:r>
    </w:p>
    <w:p>
      <w:pPr>
        <w:pStyle w:val="ListBullet"/>
      </w:pPr>
      <w:r>
        <w:rPr/>
        <w:t>Türkre will prepare an internal presentation on Monday and aims to finalize it before 29 October; a follow-up discussion with Munich Re's modeling expert (Marco) was offered from Tuesday 27 October.</w:t>
      </w:r>
    </w:p>
    <w:p>
      <w:pPr>
        <w:pStyle w:val="Heading1"/>
      </w:pPr>
      <w:r>
        <w:t>2. Discussion Topics</w:t>
      </w:r>
    </w:p>
    <w:p>
      <w:pPr>
        <w:pStyle w:val="Heading2"/>
      </w:pPr>
      <w:r>
        <w:t>2.1. Van earthquake back-test</w:t>
      </w:r>
    </w:p>
    <w:p>
      <w:pPr>
        <w:pStyle w:val="ListBullet"/>
      </w:pPr>
      <w:r>
        <w:rPr/>
        <w:t>The event is large in magnitude, but the payout is low because the observed ground acceleration was not particularly high in most cells; many cells fell just under the 0.35 g trigger.</w:t>
      </w:r>
    </w:p>
    <w:p>
      <w:pPr>
        <w:pStyle w:val="ListBullet"/>
      </w:pPr>
      <w:r>
        <w:rPr/>
        <w:t>Between 0.35 and 0.40 g a cell pays 20% of its sublimit. Total payout would have been nearly EUR 12 million, contributing only to the aggregate attachments of 300 million and 400 million, depending on the layer.</w:t>
      </w:r>
    </w:p>
    <w:p>
      <w:pPr>
        <w:pStyle w:val="ListBullet"/>
      </w:pPr>
      <w:r>
        <w:rPr/>
        <w:t>The Munich Re side attributed the heavy casualties and damage largely to local building codes and construction quality in that part of Turkey rather than to high ground motion.</w:t>
      </w:r>
    </w:p>
    <w:p>
      <w:pPr>
        <w:pStyle w:val="ListBullet"/>
      </w:pPr>
      <w:r>
        <w:rPr/>
        <w:t>A third party (name unclear in the transcript) reportedly believes the event would not have triggered the traditional program either. The RMS modeled loss for this type of event was stated as about EUR 134–136 million (currency not stated in the transcript), well short of the layers.</w:t>
      </w:r>
    </w:p>
    <w:p>
      <w:pPr>
        <w:pStyle w:val="Heading2"/>
      </w:pPr>
      <w:r>
        <w:t>2.2. Data sources: USGS ShakeMaps and AFAD</w:t>
      </w:r>
    </w:p>
    <w:p>
      <w:pPr>
        <w:pStyle w:val="ListBullet"/>
      </w:pPr>
      <w:r>
        <w:rPr/>
        <w:t>The entire ground motion field comes from the USGS median ShakeMaps. Where several values exist for one cell, the one closest to the cell centroid is used.</w:t>
      </w:r>
    </w:p>
    <w:p>
      <w:pPr>
        <w:pStyle w:val="ListBullet"/>
      </w:pPr>
      <w:r>
        <w:rPr/>
        <w:t>USGS publishes ShakeMaps for events above magnitude 5 on 1 km or 5 km cells, and it was noted that cells are larger (10 km) where exposure is sparse. The extent does not depend on magnitude, as far as the Munich Re side knows.</w:t>
      </w:r>
    </w:p>
    <w:p>
      <w:pPr>
        <w:pStyle w:val="ListBullet"/>
      </w:pPr>
      <w:r>
        <w:rPr/>
        <w:t>AFAD is the backup reporting agency. Sinan noted that AFAD publishes recorded motions and that ShakeMaps conditioned on them depend on the ground motion model used, so the standard may differ from USGS; he recommended clarifying this in the contract wording.</w:t>
      </w:r>
    </w:p>
    <w:p>
      <w:pPr>
        <w:pStyle w:val="ListBullet"/>
      </w:pPr>
      <w:r>
        <w:rPr/>
        <w:t>Munich Re recalled that Marco ran a sensitivity analysis between AFAD and USGS. Differences were visible only for small events; above about magnitude 5 the results were very similar. Whether this analysis can be shared was not confirmed.</w:t>
      </w:r>
    </w:p>
    <w:p>
      <w:pPr>
        <w:pStyle w:val="ListBullet"/>
      </w:pPr>
      <w:r>
        <w:rPr/>
        <w:t>The Munich Re side saw little risk of misunderstanding, since both sides would read the same data against the same payout table per grid cell.</w:t>
      </w:r>
    </w:p>
    <w:p>
      <w:pPr>
        <w:pStyle w:val="Heading2"/>
      </w:pPr>
      <w:r>
        <w:t>2.3. Choice of trigger metric</w:t>
      </w:r>
    </w:p>
    <w:p>
      <w:pPr>
        <w:pStyle w:val="ListBullet"/>
      </w:pPr>
      <w:r>
        <w:rPr/>
        <w:t>Munich Re reported more than 10 parametric contracts based on PGA; the largest has a capacity of up to USD 250 million and covers a large portfolio across a larger region with a uniform payout structure.</w:t>
      </w:r>
    </w:p>
    <w:p>
      <w:pPr>
        <w:pStyle w:val="ListBullet"/>
      </w:pPr>
      <w:r>
        <w:rPr/>
        <w:t>Munich Re proposes PGA by default when the structure is intensity-based rather than a magnitude-based "cat in a box"; in Japan it provides contracts based on Shindo (more than 10–15 contracts). Sensor-based enhancements were mentioned as an option discussed earlier in Istanbul.</w:t>
      </w:r>
    </w:p>
    <w:p>
      <w:pPr>
        <w:pStyle w:val="ListBullet"/>
      </w:pPr>
      <w:r>
        <w:rPr/>
        <w:t>Sinan agreed that PGA suits a large, mixed portfolio. Spectral acceleration would require several periods (0.3, 0.6, 1.0 s), and a period-insensitive metric is more robust. He added that PGV is a better indicator for structures responding beyond the linear range.</w:t>
      </w:r>
    </w:p>
    <w:p>
      <w:pPr>
        <w:pStyle w:val="Heading2"/>
      </w:pPr>
      <w:r>
        <w:t>2.4. One payout table for all exposure types</w:t>
      </w:r>
    </w:p>
    <w:p>
      <w:pPr>
        <w:pStyle w:val="ListBullet"/>
      </w:pPr>
      <w:r>
        <w:rPr/>
        <w:t>Sinan asked why the same payout structure is used for industrial and residential (TCIP) exposure, noting that TCIP covers structural damage while industrial covers also BI and contents.</w:t>
      </w:r>
    </w:p>
    <w:p>
      <w:pPr>
        <w:pStyle w:val="ListBullet"/>
      </w:pPr>
      <w:r>
        <w:rPr/>
        <w:t>The structuring team replied that its RFP response modeled several tables, including spectral acceleration at 0.3 s and 1.0 s, but that TCIP provides data only at regional level, so all exposure is assumed residential. The chosen table was not selected only as the best fit to exposure; it also balances price, risk capital availability and pays out in the client's favor rather than tracking a modeled damage curve.</w:t>
      </w:r>
    </w:p>
    <w:p>
      <w:pPr>
        <w:pStyle w:val="ListBullet"/>
      </w:pPr>
      <w:r>
        <w:rPr/>
        <w:t>It was stated that the table reaches 100% of cell value at high PGA (transcript says "0.75"/"75% G"), correlates well with MMI at low levels, and attaches at 0.35 g, slightly above where first damage occurs. More than 500 structures were considered and narrowed to three or four candidates.</w:t>
      </w:r>
    </w:p>
    <w:p>
      <w:pPr>
        <w:pStyle w:val="ListBullet"/>
      </w:pPr>
      <w:r>
        <w:rPr/>
        <w:t>Sinan disagreed with using MMI as a trigger metric and noted that its correlation with PGA weakens at higher values. The structuring side agreed that MMI is not the trigger but a useful reference, and mentioned that USGS ShakeMaps include "Did You Feel It" (DYFI) inputs that cross-reference PGA/MMI with observed damage.</w:t>
      </w:r>
    </w:p>
    <w:p>
      <w:pPr>
        <w:pStyle w:val="ListBullet"/>
      </w:pPr>
      <w:r>
        <w:rPr/>
        <w:t>On industrial exposure, all values (including BI) are added into the grid-cell value and the Turkey program is a parallel tower capturing BI, whereas TCIP is a layer within the existing insurance tower; the two policies therefore target different elements and vulnerability comparisons are not equal.</w:t>
      </w:r>
    </w:p>
    <w:p>
      <w:pPr>
        <w:pStyle w:val="ListBullet"/>
      </w:pPr>
      <w:r>
        <w:rPr/>
        <w:t>The structuring team stressed that the payout table cannot be separated from the aggregate structure (layers 100 xs 300 and 100 xs 400), which was refined over months with Türkre.</w:t>
      </w:r>
    </w:p>
    <w:p>
      <w:pPr>
        <w:pStyle w:val="Heading2"/>
      </w:pPr>
      <w:r>
        <w:t>2.5. Attachment point, basis risk and price</w:t>
      </w:r>
    </w:p>
    <w:p>
      <w:pPr>
        <w:pStyle w:val="ListBullet"/>
      </w:pPr>
      <w:r>
        <w:rPr/>
        <w:t>Christian: the attachment point is appropriate and should capture any mid to large damaging event, paying 100% in severe earthquakes; high-TIV grid cells pay 100% in any large event in the modeling. Intermediate steps could be exponential rather than linear if designed from the ground up.</w:t>
      </w:r>
    </w:p>
    <w:p>
      <w:pPr>
        <w:pStyle w:val="ListBullet"/>
      </w:pPr>
      <w:r>
        <w:rPr/>
        <w:t>Lowering the attachment (for example to 0.25 g) would likely raise the price sharply; the aim is to capture damaging events without letting expected loss rise too much.</w:t>
      </w:r>
    </w:p>
    <w:p>
      <w:pPr>
        <w:pStyle w:val="ListBullet"/>
      </w:pPr>
      <w:r>
        <w:rPr/>
        <w:t>Munich Re emphasized that a large event with no payout is its biggest reputational concern, discussed up to board level, and that it does not quote structures with high basis risk.</w:t>
      </w:r>
    </w:p>
    <w:p>
      <w:pPr>
        <w:pStyle w:val="ListBullet"/>
      </w:pPr>
      <w:r>
        <w:rPr/>
        <w:t>Ground-up fitting was described as too uncertain; the stated goal is adequate payouts in mid to large events for the two low layers. Sinan agreed that basis risk should be minimized, large damage should give full payout, but cautioned that vulnerability and portfolio composition should still inform the design.</w:t>
      </w:r>
    </w:p>
    <w:p>
      <w:pPr>
        <w:pStyle w:val="ListBullet"/>
      </w:pPr>
      <w:r>
        <w:rPr/>
        <w:t>Regional payouts and attachments, or even per-grid or per-building values, are technically possible with PGA, but they would add time and cost, increase model sensitivity and administrative burden (for example, if 23,000 different payout tables existed) and reduce clarity; the product should be kept as simple as possible. Ege's question on maximum PGA in a cell versus the closest PGA value was acknowledged as valid.</w:t>
      </w:r>
    </w:p>
    <w:p>
      <w:pPr>
        <w:pStyle w:val="Heading1"/>
      </w:pPr>
      <w:r>
        <w:t>3. Comparative Evaluation of Trigger Metrics</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CellMar>
          <w:top w:w="50" w:type="dxa"/>
          <w:left w:w="90" w:type="dxa"/>
          <w:bottom w:w="50" w:type="dxa"/>
          <w:right w:w="90" w:type="dxa"/>
        </w:tblCellMar>
      </w:tblPr>
      <w:tblGrid>
        <w:gridCol w:w="4536"/>
        <w:gridCol w:w="4536"/>
      </w:tblGrid>
      <w:tr>
        <w:trPr>
          <w:tblHeader w:val="true"/>
        </w:trPr>
        <w:tc>
          <w:tcPr>
            <w:tcW w:type="dxa" w:w="2268"/>
            <w:shd w:val="clear" w:color="auto" w:fill="1F3864"/>
          </w:tcPr>
          <w:p>
            <w:pPr>
              <w:spacing w:after="0" w:line="240" w:lineRule="auto"/>
            </w:pPr>
            <w:r/>
            <w:r>
              <w:rPr>
                <w:b/>
                <w:color w:val="FFFFFF"/>
                <w:sz w:val="19"/>
              </w:rPr>
              <w:t>Metric</w:t>
            </w:r>
          </w:p>
        </w:tc>
        <w:tc>
          <w:tcPr>
            <w:tcW w:type="dxa" w:w="6803"/>
            <w:shd w:val="clear" w:color="auto" w:fill="1F3864"/>
          </w:tcPr>
          <w:p>
            <w:pPr>
              <w:spacing w:after="0" w:line="240" w:lineRule="auto"/>
            </w:pPr>
            <w:r/>
            <w:r>
              <w:rPr>
                <w:b/>
                <w:color w:val="FFFFFF"/>
                <w:sz w:val="19"/>
              </w:rPr>
              <w:t>View expressed in the meeting</w:t>
            </w:r>
          </w:p>
        </w:tc>
      </w:tr>
      <w:tr>
        <w:tc>
          <w:tcPr>
            <w:tcW w:type="dxa" w:w="2268"/>
            <w:shd w:val="clear" w:color="auto" w:fill="F2F5FA"/>
          </w:tcPr>
          <w:p>
            <w:pPr>
              <w:spacing w:after="0" w:line="240" w:lineRule="auto"/>
            </w:pPr>
            <w:r/>
            <w:r>
              <w:rPr>
                <w:sz w:val="19"/>
              </w:rPr>
              <w:t>PGA</w:t>
            </w:r>
          </w:p>
        </w:tc>
        <w:tc>
          <w:tcPr>
            <w:tcW w:type="dxa" w:w="6803"/>
            <w:shd w:val="clear" w:color="auto" w:fill="F2F5FA"/>
          </w:tcPr>
          <w:p>
            <w:pPr>
              <w:spacing w:after="0" w:line="240" w:lineRule="auto"/>
            </w:pPr>
            <w:r/>
            <w:r>
              <w:rPr>
                <w:sz w:val="19"/>
              </w:rPr>
              <w:t>Munich Re's default for intensity-based structures (more than 10 contracts); period-insensitive and suitable for large mixed portfolios; used here.</w:t>
            </w:r>
          </w:p>
        </w:tc>
      </w:tr>
      <w:tr>
        <w:tc>
          <w:tcPr>
            <w:tcW w:type="dxa" w:w="2268"/>
            <w:shd w:val="clear" w:color="auto" w:fill="F2F5FA"/>
          </w:tcPr>
          <w:p>
            <w:pPr>
              <w:spacing w:after="0" w:line="240" w:lineRule="auto"/>
            </w:pPr>
            <w:r/>
            <w:r>
              <w:rPr>
                <w:sz w:val="19"/>
              </w:rPr>
              <w:t>Spectral acceleration (0.3 s, 1.0 s)</w:t>
            </w:r>
          </w:p>
        </w:tc>
        <w:tc>
          <w:tcPr>
            <w:tcW w:type="dxa" w:w="6803"/>
            <w:shd w:val="clear" w:color="auto" w:fill="F2F5FA"/>
          </w:tcPr>
          <w:p>
            <w:pPr>
              <w:spacing w:after="0" w:line="240" w:lineRule="auto"/>
            </w:pPr>
            <w:r/>
            <w:r>
              <w:rPr>
                <w:sz w:val="19"/>
              </w:rPr>
              <w:t>Considered in the RFP response; harder to apply to a large mixed portfolio because several periods are needed.</w:t>
            </w:r>
          </w:p>
        </w:tc>
      </w:tr>
      <w:tr>
        <w:tc>
          <w:tcPr>
            <w:tcW w:type="dxa" w:w="2268"/>
            <w:shd w:val="clear" w:color="auto" w:fill="F2F5FA"/>
          </w:tcPr>
          <w:p>
            <w:pPr>
              <w:spacing w:after="0" w:line="240" w:lineRule="auto"/>
            </w:pPr>
            <w:r/>
            <w:r>
              <w:rPr>
                <w:sz w:val="19"/>
              </w:rPr>
              <w:t>PGV</w:t>
            </w:r>
          </w:p>
        </w:tc>
        <w:tc>
          <w:tcPr>
            <w:tcW w:type="dxa" w:w="6803"/>
            <w:shd w:val="clear" w:color="auto" w:fill="F2F5FA"/>
          </w:tcPr>
          <w:p>
            <w:pPr>
              <w:spacing w:after="0" w:line="240" w:lineRule="auto"/>
            </w:pPr>
            <w:r/>
            <w:r>
              <w:rPr>
                <w:sz w:val="19"/>
              </w:rPr>
              <w:t>Raised by Sinan as a better indicator for structures responding beyond the linear range.</w:t>
            </w:r>
          </w:p>
        </w:tc>
      </w:tr>
      <w:tr>
        <w:tc>
          <w:tcPr>
            <w:tcW w:type="dxa" w:w="2268"/>
            <w:shd w:val="clear" w:color="auto" w:fill="F2F5FA"/>
          </w:tcPr>
          <w:p>
            <w:pPr>
              <w:spacing w:after="0" w:line="240" w:lineRule="auto"/>
            </w:pPr>
            <w:r/>
            <w:r>
              <w:rPr>
                <w:sz w:val="19"/>
              </w:rPr>
              <w:t>MMI</w:t>
            </w:r>
          </w:p>
        </w:tc>
        <w:tc>
          <w:tcPr>
            <w:tcW w:type="dxa" w:w="6803"/>
            <w:shd w:val="clear" w:color="auto" w:fill="F2F5FA"/>
          </w:tcPr>
          <w:p>
            <w:pPr>
              <w:spacing w:after="0" w:line="240" w:lineRule="auto"/>
            </w:pPr>
            <w:r/>
            <w:r>
              <w:rPr>
                <w:sz w:val="19"/>
              </w:rPr>
              <w:t>Not a trigger; useful reference for structural damage but observation-dependent and less correlated with PGA at high intensities.</w:t>
            </w:r>
          </w:p>
        </w:tc>
      </w:tr>
      <w:tr>
        <w:tc>
          <w:tcPr>
            <w:tcW w:type="dxa" w:w="2268"/>
            <w:shd w:val="clear" w:color="auto" w:fill="F2F5FA"/>
          </w:tcPr>
          <w:p>
            <w:pPr>
              <w:spacing w:after="0" w:line="240" w:lineRule="auto"/>
            </w:pPr>
            <w:r/>
            <w:r>
              <w:rPr>
                <w:sz w:val="19"/>
              </w:rPr>
              <w:t>Shindo</w:t>
            </w:r>
          </w:p>
        </w:tc>
        <w:tc>
          <w:tcPr>
            <w:tcW w:type="dxa" w:w="6803"/>
            <w:shd w:val="clear" w:color="auto" w:fill="F2F5FA"/>
          </w:tcPr>
          <w:p>
            <w:pPr>
              <w:spacing w:after="0" w:line="240" w:lineRule="auto"/>
            </w:pPr>
            <w:r/>
            <w:r>
              <w:rPr>
                <w:sz w:val="19"/>
              </w:rPr>
              <w:t>Market standard in Japan, where Munich Re has more than 10–15 contracts.</w:t>
            </w:r>
          </w:p>
        </w:tc>
      </w:tr>
    </w:tbl>
    <w:p>
      <w:pPr>
        <w:spacing w:after="40"/>
      </w:pPr>
    </w:p>
    <w:p>
      <w:pPr>
        <w:pStyle w:val="Heading1"/>
      </w:pPr>
      <w:r>
        <w:t>4. Decisions, Agreements, and Confirmed Clarifications</w:t>
      </w:r>
    </w:p>
    <w:p>
      <w:pPr>
        <w:pStyle w:val="ListNumber"/>
        <w:numPr>
          <w:ilvl w:val="0"/>
          <w:numId w:val="10"/>
        </w:numPr>
      </w:pPr>
      <w:r>
        <w:rPr/>
        <w:t>The current structure uses USGS median ShakeMaps with the closest value to the cell centroid, and AFAD as the backup source.</w:t>
      </w:r>
    </w:p>
    <w:p>
      <w:pPr>
        <w:pStyle w:val="ListNumber"/>
        <w:numPr>
          <w:ilvl w:val="0"/>
          <w:numId w:val="10"/>
        </w:numPr>
      </w:pPr>
      <w:r>
        <w:rPr/>
        <w:t>The trigger is 0.35 g PGA, with 20% of the cell sublimit paid between 0.35 and 0.40 g; the layers discussed are 100 xs 300 and 100 xs 400.</w:t>
      </w:r>
    </w:p>
    <w:p>
      <w:pPr>
        <w:pStyle w:val="ListNumber"/>
        <w:numPr>
          <w:ilvl w:val="0"/>
          <w:numId w:val="10"/>
        </w:numPr>
      </w:pPr>
      <w:r>
        <w:rPr/>
        <w:t>Munich Re confirmed that its modeling team considered the bias between AFAD and USGS and between its own ground motion model and USGS-reported values (as summarized by Sinan, with no objection recorded).</w:t>
      </w:r>
    </w:p>
    <w:p>
      <w:pPr>
        <w:pStyle w:val="ListNumber"/>
        <w:numPr>
          <w:ilvl w:val="0"/>
          <w:numId w:val="10"/>
        </w:numPr>
      </w:pPr>
      <w:r>
        <w:rPr/>
        <w:t>No change to the payout structure was agreed in this meeting; changes such as regional tables were described as possible but outside the current program year.</w:t>
      </w:r>
    </w:p>
    <w:p>
      <w:pPr>
        <w:pStyle w:val="Heading1"/>
      </w:pPr>
      <w:r>
        <w:t>5. Action Items and Follow-Up Plan</w:t>
      </w:r>
    </w:p>
    <w:p>
      <w:pPr>
        <w:pStyle w:val="ListNumber"/>
        <w:numPr>
          <w:ilvl w:val="0"/>
          <w:numId w:val="11"/>
        </w:numPr>
      </w:pPr>
      <w:r>
        <w:rPr>
          <w:b/>
        </w:rPr>
        <w:t xml:space="preserve">Türkre (owner not specified) — </w:t>
      </w:r>
      <w:r>
        <w:rPr/>
        <w:t>Prepare an internal presentation and assessment of the payout structure. Timing/status: work starts Monday 26 October; finalization hoped before 29 October, after which Türkre expects to give the green light following a proper explanation.</w:t>
      </w:r>
    </w:p>
    <w:p>
      <w:pPr>
        <w:pStyle w:val="ListNumber"/>
        <w:numPr>
          <w:ilvl w:val="0"/>
          <w:numId w:val="11"/>
        </w:numPr>
      </w:pPr>
      <w:r>
        <w:rPr>
          <w:b/>
        </w:rPr>
        <w:t xml:space="preserve">Munich Re (Christian) — </w:t>
      </w:r>
      <w:r>
        <w:rPr/>
        <w:t>Arrange a conversation between Sinan's team and Marco on how the uncertainty and bias between USGS values and the model's median ground motion are handled. Timing/status: Marco is available from Tuesday 27 October.</w:t>
      </w:r>
    </w:p>
    <w:p>
      <w:pPr>
        <w:pStyle w:val="ListNumber"/>
        <w:numPr>
          <w:ilvl w:val="0"/>
          <w:numId w:val="11"/>
        </w:numPr>
      </w:pPr>
      <w:r>
        <w:rPr>
          <w:b/>
        </w:rPr>
        <w:t xml:space="preserve">Munich Re (owner not specified) — </w:t>
      </w:r>
      <w:r>
        <w:rPr/>
        <w:t>Check whether the AFAD–USGS sensitivity analysis can be shared. Timing/status: Christian said he needed to double-check whether a report exists.</w:t>
      </w:r>
    </w:p>
    <w:p>
      <w:pPr>
        <w:pStyle w:val="ListNumber"/>
        <w:numPr>
          <w:ilvl w:val="0"/>
          <w:numId w:val="11"/>
        </w:numPr>
      </w:pPr>
      <w:r>
        <w:rPr>
          <w:b/>
        </w:rPr>
        <w:t xml:space="preserve">Türkre (Sinan) — </w:t>
      </w:r>
      <w:r>
        <w:rPr/>
        <w:t>Clarify AFAD/USGS data source wording in future agreements. Timing/status: suggested for the next agreements; no date.</w:t>
      </w:r>
    </w:p>
    <w:p>
      <w:pPr>
        <w:pStyle w:val="Heading1"/>
      </w:pPr>
      <w:r>
        <w:t>6. Open Questions / Items Requiring Resolution</w:t>
      </w:r>
    </w:p>
    <w:p>
      <w:pPr>
        <w:pStyle w:val="ListBullet"/>
      </w:pPr>
      <w:r>
        <w:rPr/>
        <w:t>How Munich Re's model treats the bias between USGS-reported and modeled median ground motion in setting the payout structure (to be discussed with Marco).</w:t>
      </w:r>
    </w:p>
    <w:p>
      <w:pPr>
        <w:pStyle w:val="ListBullet"/>
      </w:pPr>
      <w:r>
        <w:rPr/>
        <w:t>Whether a differentiated payout structure by region or exposure type should be explored for future renewals.</w:t>
      </w:r>
    </w:p>
    <w:p>
      <w:pPr>
        <w:pStyle w:val="ListBullet"/>
      </w:pPr>
      <w:r>
        <w:rPr/>
        <w:t>Whether the AFAD backup mechanism should be written explicitly into the contract wording.</w:t>
      </w:r>
    </w:p>
    <w:p>
      <w:pPr>
        <w:pStyle w:val="ListBullet"/>
      </w:pPr>
      <w:r>
        <w:rPr/>
        <w:t>Türkre's final position on the proposed payout structure.</w:t>
      </w:r>
    </w:p>
    <w:p>
      <w:pPr>
        <w:pStyle w:val="Heading1"/>
      </w:pPr>
      <w:r>
        <w:t>7. Closing and Timeline</w:t>
      </w:r>
    </w:p>
    <w:p>
      <w:pPr>
        <w:pStyle w:val="ListBullet"/>
      </w:pPr>
      <w:r>
        <w:rPr/>
        <w:t>Türkre thanked the Munich Re team and said it would use the coming days to prepare the presentation and revert, aiming to finalize before 29 October.</w:t>
      </w:r>
    </w:p>
    <w:p>
      <w:pPr>
        <w:pStyle w:val="ListBullet"/>
      </w:pPr>
      <w:r>
        <w:rPr/>
        <w:t>Munich Re welcomed the continuing dialogue with Türkre's experts; Sinan asked to be addressed by his first name rather than as "Professor".</w:t>
      </w:r>
    </w:p>
    <w:p>
      <w:pPr>
        <w:spacing w:before="240"/>
      </w:pPr>
      <w:r>
        <w:rPr>
          <w:i/>
          <w:color w:val="808080"/>
          <w:sz w:val="18"/>
        </w:rPr>
        <w:t>Editorial note: The transcript is machine-generated and does not distinguish speakers; some passages are unclear, so affiliations of Henry and Paul and the identity of the third party mentioned in section 2.1 are not stated. Recognition errors were corrected where obvious ("grams" → g, "Turquiri/Turkey group" → Türkre, "shape maps" → ShakeMaps, "DigiFelix" → DYFI). The currency of the RMS loss figure and the exact threshold for 100% payout are uncertain in the transcript. The meeting date is taken from the file name (23 October 2026).</w:t>
      </w:r>
    </w:p>
    <w:sectPr w:rsidR="00FC693F" w:rsidRPr="0006063C" w:rsidSect="00034616">
      <w:footerReference w:type="default" r:id="rId9"/>
      <w:pgSz w:w="11906" w:h="16838"/>
      <w:pgMar w:top="1417" w:right="1417" w:bottom="1417" w:left="1417" w:header="72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C9A227"/>
      </w:pBdr>
      <w:tabs>
        <w:tab w:pos="9071" w:val="right"/>
      </w:tabs>
    </w:pPr>
    <w:r/>
    <w:r>
      <w:rPr>
        <w:color w:val="808080"/>
        <w:sz w:val="16"/>
      </w:rPr>
      <w:t>Türkre × Munich Re | Meeting Minutes | 23 October 2026</w:t>
    </w:r>
    <w:r>
      <w:rPr>
        <w:color w:val="808080"/>
        <w:sz w:val="16"/>
      </w:rPr>
      <w:tab/>
      <w:t xml:space="preserve">Page </w:t>
    </w:r>
    <w:r>
      <w:rPr>
        <w:color w:val="808080"/>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30"/>
      <w:outlineLvl w:val="0"/>
      <w:pBdr>
        <w:bottom w:val="single" w:sz="6" w:space="4" w:color="C9A227"/>
      </w:pBdr>
    </w:pPr>
    <w:rPr>
      <w:rFonts w:ascii="Calibri" w:hAnsi="Calibri" w:eastAsia="Calibri" w:cs="Calibri"/>
      <w:b/>
      <w:bCs/>
      <w:i w:val="0"/>
      <w:color w:val="1F3864"/>
      <w:sz w:val="27"/>
      <w:szCs w:val="28"/>
    </w:rPr>
  </w:style>
  <w:style w:type="paragraph" w:styleId="Heading2">
    <w:name w:val="heading 2"/>
    <w:basedOn w:val="Normal"/>
    <w:next w:val="Normal"/>
    <w:link w:val="Heading2Char"/>
    <w:uiPriority w:val="9"/>
    <w:unhideWhenUsed/>
    <w:qFormat/>
    <w:rsid w:val="00FC693F"/>
    <w:pPr>
      <w:keepNext/>
      <w:keepLines/>
      <w:spacing w:before="180" w:after="90"/>
      <w:outlineLvl w:val="1"/>
    </w:pPr>
    <w:rPr>
      <w:rFonts w:ascii="Calibri" w:hAnsi="Calibri" w:eastAsia="Calibri" w:cs="Calibri"/>
      <w:b/>
      <w:bCs/>
      <w:i w:val="0"/>
      <w:color w:val="2E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jc w:val="both"/>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jc w:val="both"/>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Türkre – Munich Re Meeting Minutes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