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Toplantı Raporu</w:t>
      </w:r>
    </w:p>
    <w:p>
      <w:pPr>
        <w:spacing w:after="40"/>
        <w:jc w:val="center"/>
      </w:pPr>
      <w:r>
        <w:rPr>
          <w:color w:val="2E5496"/>
          <w:sz w:val="25"/>
        </w:rPr>
        <w:t>SEDDK ile Katastrofik Deprem Koruması, Dönüş Süresi ve Stres Testi Kapsamının Değerlendirilmesi</w:t>
      </w:r>
    </w:p>
    <w:p>
      <w:pPr>
        <w:spacing w:after="240"/>
        <w:jc w:val="center"/>
        <w:pBdr>
          <w:bottom w:val="single" w:sz="6" w:space="6" w:color="C9A227"/>
        </w:pBdr>
      </w:pPr>
      <w:r>
        <w:rPr>
          <w:color w:val="808080"/>
          <w:sz w:val="18"/>
        </w:rPr>
        <w:t>7 Eylül 2026  •  SEDDK ↔ Modelleme ekibi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4536"/>
        <w:gridCol w:w="4536"/>
      </w:tblGrid>
      <w:tr>
        <w:trPr>
          <w:tblHeader w:val="true"/>
        </w:trPr>
        <w:tc>
          <w:tcPr>
            <w:tcW w:type="dxa" w:w="2381"/>
            <w:shd w:val="clear" w:color="auto" w:fill="1F3864"/>
          </w:tcPr>
          <w:p>
            <w:pPr>
              <w:spacing w:after="0" w:line="240" w:lineRule="auto"/>
            </w:pPr>
            <w:r/>
            <w:r>
              <w:rPr>
                <w:b/>
                <w:color w:val="FFFFFF"/>
                <w:sz w:val="19"/>
              </w:rPr>
              <w:t>Alan</w:t>
            </w:r>
          </w:p>
        </w:tc>
        <w:tc>
          <w:tcPr>
            <w:tcW w:type="dxa" w:w="6690"/>
            <w:shd w:val="clear" w:color="auto" w:fill="1F3864"/>
          </w:tcPr>
          <w:p>
            <w:pPr>
              <w:spacing w:after="0" w:line="240" w:lineRule="auto"/>
            </w:pPr>
            <w:r/>
            <w:r>
              <w:rPr>
                <w:b/>
                <w:color w:val="FFFFFF"/>
                <w:sz w:val="19"/>
              </w:rPr>
              <w:t>Bilgi</w:t>
            </w:r>
          </w:p>
        </w:tc>
      </w:tr>
      <w:tr>
        <w:tc>
          <w:tcPr>
            <w:tcW w:type="dxa" w:w="2381"/>
            <w:shd w:val="clear" w:color="auto" w:fill="F2F5FA"/>
          </w:tcPr>
          <w:p>
            <w:pPr>
              <w:spacing w:after="0" w:line="240" w:lineRule="auto"/>
            </w:pPr>
            <w:r/>
            <w:r>
              <w:rPr>
                <w:b/>
                <w:sz w:val="19"/>
              </w:rPr>
              <w:t>Tarih / süre</w:t>
            </w:r>
          </w:p>
        </w:tc>
        <w:tc>
          <w:tcPr>
            <w:tcW w:type="dxa" w:w="6690"/>
            <w:shd w:val="clear" w:color="auto" w:fill="F2F5FA"/>
          </w:tcPr>
          <w:p>
            <w:pPr>
              <w:spacing w:after="0" w:line="240" w:lineRule="auto"/>
            </w:pPr>
            <w:r/>
            <w:r>
              <w:rPr>
                <w:b/>
                <w:sz w:val="19"/>
              </w:rPr>
              <w:t>7 Eylül 2026 • yaklaşık 41 dakika (kayıt ortadan başlamaktadır)</w:t>
            </w:r>
          </w:p>
        </w:tc>
      </w:tr>
      <w:tr>
        <w:tc>
          <w:tcPr>
            <w:tcW w:type="dxa" w:w="2381"/>
            <w:shd w:val="clear" w:color="auto" w:fill="F2F5FA"/>
          </w:tcPr>
          <w:p>
            <w:pPr>
              <w:spacing w:after="0" w:line="240" w:lineRule="auto"/>
            </w:pPr>
            <w:r/>
            <w:r>
              <w:rPr>
                <w:b/>
                <w:sz w:val="19"/>
              </w:rPr>
              <w:t>Konu</w:t>
            </w:r>
          </w:p>
        </w:tc>
        <w:tc>
          <w:tcPr>
            <w:tcW w:type="dxa" w:w="6690"/>
            <w:shd w:val="clear" w:color="auto" w:fill="F2F5FA"/>
          </w:tcPr>
          <w:p>
            <w:pPr>
              <w:spacing w:after="0" w:line="240" w:lineRule="auto"/>
            </w:pPr>
            <w:r/>
            <w:r>
              <w:rPr>
                <w:b/>
                <w:sz w:val="19"/>
              </w:rPr>
              <w:t>Marmara odaklı stres testi sonuçları ışığında, katastrofik deprem korumasında kullanılan 250 yıllık dönüş süresi uygulamasının geliştirilmesi</w:t>
            </w:r>
          </w:p>
        </w:tc>
      </w:tr>
      <w:tr>
        <w:tc>
          <w:tcPr>
            <w:tcW w:type="dxa" w:w="2381"/>
            <w:shd w:val="clear" w:color="auto" w:fill="F2F5FA"/>
          </w:tcPr>
          <w:p>
            <w:pPr>
              <w:spacing w:after="0" w:line="240" w:lineRule="auto"/>
            </w:pPr>
            <w:r/>
            <w:r>
              <w:rPr>
                <w:b/>
                <w:sz w:val="19"/>
              </w:rPr>
              <w:t>Muhataplar</w:t>
            </w:r>
          </w:p>
        </w:tc>
        <w:tc>
          <w:tcPr>
            <w:tcW w:type="dxa" w:w="6690"/>
            <w:shd w:val="clear" w:color="auto" w:fill="F2F5FA"/>
          </w:tcPr>
          <w:p>
            <w:pPr>
              <w:spacing w:after="0" w:line="240" w:lineRule="auto"/>
            </w:pPr>
            <w:r/>
            <w:r>
              <w:rPr>
                <w:b/>
                <w:sz w:val="19"/>
              </w:rPr>
              <w:t>SEDDK temsilcileri (Merve Hanım dâhil); modelleme/danışmanlık ekibi</w:t>
            </w:r>
          </w:p>
        </w:tc>
      </w:tr>
      <w:tr>
        <w:tc>
          <w:tcPr>
            <w:tcW w:type="dxa" w:w="2381"/>
            <w:shd w:val="clear" w:color="auto" w:fill="F2F5FA"/>
          </w:tcPr>
          <w:p>
            <w:pPr>
              <w:spacing w:after="0" w:line="240" w:lineRule="auto"/>
            </w:pPr>
            <w:r/>
            <w:r>
              <w:rPr>
                <w:b/>
                <w:sz w:val="19"/>
              </w:rPr>
              <w:t>Katılımcılar</w:t>
            </w:r>
          </w:p>
        </w:tc>
        <w:tc>
          <w:tcPr>
            <w:tcW w:type="dxa" w:w="6690"/>
            <w:shd w:val="clear" w:color="auto" w:fill="F2F5FA"/>
          </w:tcPr>
          <w:p>
            <w:pPr>
              <w:spacing w:after="0" w:line="240" w:lineRule="auto"/>
            </w:pPr>
            <w:r/>
            <w:r>
              <w:rPr>
                <w:b/>
                <w:sz w:val="19"/>
              </w:rPr>
              <w:t>Kayıttan net değil; konuşmada Merve Hanım, daire başkanı ve daire başkan yardımcısı (toplantıda hazır bulunmayan) anılmaktadır.</w:t>
            </w:r>
          </w:p>
        </w:tc>
      </w:tr>
    </w:tbl>
    <w:p>
      <w:pPr>
        <w:spacing w:after="80"/>
      </w:pPr>
      <w:r>
        <w:rPr>
          <w:i/>
          <w:color w:val="808080"/>
          <w:sz w:val="16"/>
        </w:rPr>
        <w:t>İsimler kayıttan aktarılmıştır; bazı isimlerde yazım farkı olabilir.</w:t>
      </w:r>
    </w:p>
    <w:p>
      <w:pPr>
        <w:pStyle w:val="Heading1"/>
      </w:pPr>
      <w:r>
        <w:t>1. Toplantının Amacı</w:t>
      </w:r>
    </w:p>
    <w:p>
      <w:pPr>
        <w:jc w:val="both"/>
      </w:pPr>
      <w:r>
        <w:rPr/>
        <w:t>Daha önce SEDDK'ya sunulan Marmara bölgesi deprem stres testi sonuçlarının ardından, mevzuattaki mevcut 250 yıllık dönüş süresi esaslı koruma yaklaşımının nasıl geliştirilebileceği ve bunun için ne tür ek çalışmalar yapılması gerektiği görüşülmüştür. Toplantı, SEDDK tarafından iki talep iletilmesiyle başlamış; ardından kapsamın Türkiye geneline genişletilmesi önerisi tartışılmıştır.</w:t>
      </w:r>
    </w:p>
    <w:p>
      <w:pPr>
        <w:pStyle w:val="Heading1"/>
      </w:pPr>
      <w:r>
        <w:t>2. SEDDK'nın Talepleri ve Arka Plan</w:t>
      </w:r>
    </w:p>
    <w:p>
      <w:pPr>
        <w:pStyle w:val="ListBullet"/>
      </w:pPr>
      <w:r>
        <w:rPr>
          <w:b/>
        </w:rPr>
        <w:t>Birinci talep:</w:t>
      </w:r>
      <w:r>
        <w:rPr/>
        <w:t xml:space="preserve"> Dört senaryoyu temsil eden bir beşinci senaryo; her senaryonun oluşma olasılığı dikkate alınarak üretilmesi. Modelleme ekibi bunun kısa sürede yapılabileceğini, ancak iş programının dikkate alınması gerektiğini belirtmiştir.</w:t>
      </w:r>
    </w:p>
    <w:p>
      <w:pPr>
        <w:pStyle w:val="ListBullet"/>
      </w:pPr>
      <w:r>
        <w:rPr>
          <w:b/>
        </w:rPr>
        <w:t>İkinci talep:</w:t>
      </w:r>
      <w:r>
        <w:rPr/>
        <w:t xml:space="preserve"> Her senaryo için stokastik hesaplama yapılması ve senaryoların hangi dönüş süresine karşılık geldiğinin belirlenmesi.</w:t>
      </w:r>
    </w:p>
    <w:p>
      <w:pPr>
        <w:pStyle w:val="ListBullet"/>
      </w:pPr>
      <w:r>
        <w:rPr/>
        <w:t>SEDDK tarafı, mevcut genelgede (kayıtta 2012 ve 2010 tarihleri geçmektedir, net değil) katastrofik risklerde 250 yıllık dönüş süresine göre koruma alınmasının öngörüldüğünü hatırlatmıştır.</w:t>
      </w:r>
    </w:p>
    <w:p>
      <w:pPr>
        <w:pStyle w:val="ListBullet"/>
      </w:pPr>
      <w:r>
        <w:rPr/>
        <w:t>Stres testi sonuçları paylaşıldıktan sonra, korumaların yetersiz kalabildiği ve sermaye yeterliliği sorunu doğabildiği yönünde bir değerlendirme yapılmış; mevzuatın geliştirilmesi ve 500 ya da 1000 yıllık dönüş süresi ya da senaryo bazlı bir yaklaşım seçeneklerinin tartışılabileceği ifade edilmiştir.</w:t>
      </w:r>
    </w:p>
    <w:p>
      <w:pPr>
        <w:pStyle w:val="ListBullet"/>
      </w:pPr>
      <w:r>
        <w:rPr/>
        <w:t>Tek bir senaryo vermenin doğru olup olmadığı SEDDK tarafından da emin olunmayan bir nokta olarak belirtilmiş, ekibin görüşünün önemli olduğu söylenmiştir.</w:t>
      </w:r>
    </w:p>
    <w:p>
      <w:pPr>
        <w:pStyle w:val="Heading1"/>
      </w:pPr>
      <w:r>
        <w:t>3. Modelleme Ekibinin Değerlendirmeleri</w:t>
      </w:r>
    </w:p>
    <w:p>
      <w:pPr>
        <w:pStyle w:val="Heading2"/>
      </w:pPr>
      <w:r>
        <w:t>3.1. Kapsamın genişletilmesi</w:t>
      </w:r>
    </w:p>
    <w:p>
      <w:pPr>
        <w:pStyle w:val="ListBullet"/>
      </w:pPr>
      <w:r>
        <w:rPr/>
        <w:t>Mevzuat Türkiye'nin tamamı için geçerli olacağından, kararın yalnızca Marmara bölgesi ve Marmara Denizi'ndeki büyük deprem senaryoları üzerinden alınması, oldukça muhafazakâr sonuçlara yol açabilir.</w:t>
      </w:r>
    </w:p>
    <w:p>
      <w:pPr>
        <w:pStyle w:val="ListBullet"/>
      </w:pPr>
      <w:r>
        <w:rPr/>
        <w:t>Türkiye'nin her yerinde Marmara kadar yüksek deprem aktivitesi bulunmayabilir; buna karşılık toplam sigorta bedeli açısından yüksek bölgeler vardır (örnek olarak, savunma sanayi tesislerinin de arttığı Ankara ve çevresi ile ülkenin ikinci büyük şehri verilmiştir).</w:t>
      </w:r>
    </w:p>
    <w:p>
      <w:pPr>
        <w:pStyle w:val="ListBullet"/>
      </w:pPr>
      <w:r>
        <w:rPr/>
        <w:t>Tehlike (deprem) ve kümül ayaklarının birlikte, bölgeden bölgeye değişen karakteristik depremler ve kümüller üzerinden ele alınması gerektiği belirtilmiştir.</w:t>
      </w:r>
    </w:p>
    <w:p>
      <w:pPr>
        <w:pStyle w:val="Heading2"/>
      </w:pPr>
      <w:r>
        <w:t>3.2. Stokastik yaklaşım</w:t>
      </w:r>
    </w:p>
    <w:p>
      <w:pPr>
        <w:pStyle w:val="ListBullet"/>
      </w:pPr>
      <w:r>
        <w:rPr/>
        <w:t>Korumaların dönüş süresi temelinde stokastik olarak değerlendirilmesi ve senaryo bazlı karar yerine genel bir sonuca varılması önerilmiştir; tek tek senaryolara doğrudan koruma limiti bağlamak zordur.</w:t>
      </w:r>
    </w:p>
    <w:p>
      <w:pPr>
        <w:pStyle w:val="ListBullet"/>
      </w:pPr>
      <w:r>
        <w:rPr/>
        <w:t>Büyük senaryoların yıllık oluşma olasılıklarının dikkate alınması gerektiği vurgulanmıştır.</w:t>
      </w:r>
    </w:p>
    <w:p>
      <w:pPr>
        <w:pStyle w:val="ListBullet"/>
      </w:pPr>
      <w:r>
        <w:rPr/>
        <w:t>250 yıllık değerin nasıl belirlendiğinin arka planı ekip tarafından bilinmemektedir; SEDDK tarafından da bu konuda ayrıntılı bilgi verilmemiştir.</w:t>
      </w:r>
    </w:p>
    <w:p>
      <w:pPr>
        <w:pStyle w:val="Heading2"/>
      </w:pPr>
      <w:r>
        <w:t>3.3. Önerilen çalışma</w:t>
      </w:r>
    </w:p>
    <w:p>
      <w:pPr>
        <w:pStyle w:val="ListBullet"/>
      </w:pPr>
      <w:r>
        <w:rPr/>
        <w:t>Türkiye'deki sigorta şirketlerinin anonim kümül verileri bölgesel olarak toplanacak; Marmara, Ege, Akdeniz, İç Anadolu ve Doğu Anadolu gibi bölgeler ayrı ayrı çalışılıp Türkiye geneline birleştirilecektir.</w:t>
      </w:r>
    </w:p>
    <w:p>
      <w:pPr>
        <w:pStyle w:val="ListBullet"/>
      </w:pPr>
      <w:r>
        <w:rPr/>
        <w:t>Her bölge için kritik karakteristik deprem senaryoları belirlenecek, sonuçlar kümüllerle normalize edilerek hangi dönüş sürelerinin kritik ve uygulamaya elverişli olduğu görülecektir.</w:t>
      </w:r>
    </w:p>
    <w:p>
      <w:pPr>
        <w:pStyle w:val="ListBullet"/>
      </w:pPr>
      <w:r>
        <w:rPr/>
        <w:t>Çalışmanın yaklaşık üç aylık bir proje olarak ele alınması önerilmiştir; kısıtlar ve limit şartları baştan açıkça paylaşılacaktır.</w:t>
      </w:r>
    </w:p>
    <w:p>
      <w:pPr>
        <w:pStyle w:val="ListBullet"/>
      </w:pPr>
      <w:r>
        <w:rPr/>
        <w:t>Sürecin bir yan faydası olarak, şirketlerin iç model geliştirmesi gerektiği yönünde bir yönlendirmenin de zamanla yapılabileceği söylenmiştir.</w:t>
      </w:r>
    </w:p>
    <w:p>
      <w:pPr>
        <w:pStyle w:val="Heading1"/>
      </w:pPr>
      <w:r>
        <w:t>4. Veri Konusu</w:t>
      </w:r>
    </w:p>
    <w:p>
      <w:pPr>
        <w:pStyle w:val="ListBullet"/>
      </w:pPr>
      <w:r>
        <w:rPr/>
        <w:t>Marmara için kümüller şirketlerden zaten ellerinde bulunmaktadır; ülke geneline yayılınca ek veri toplanması ve süreçte yavaşlama olabileceği SEDDK tarafından dile getirilmiştir; verinin ne şekilde paylaşılacağı ve gerekli izinler sürecin engeli olabilecek bir husus olarak anılmıştır.</w:t>
      </w:r>
    </w:p>
    <w:p>
      <w:pPr>
        <w:pStyle w:val="ListBullet"/>
      </w:pPr>
      <w:r>
        <w:rPr/>
        <w:t>Modelleme ekibi, Türkiye'deki hayat dışı şirketlerin yaklaşık yüzde 85–90'ıyla zaten çalıştıklarını, yalnızca iki üç şirketle anlaşma yapılmadığını ve gizlilik sözleşmelerine uygun hareket edebileceklerini belirtmiştir. Bir karar sonrası kümüllerin kendilerine iletilmesi yeterli olacaktır.</w:t>
      </w:r>
    </w:p>
    <w:p>
      <w:pPr>
        <w:pStyle w:val="Heading1"/>
      </w:pPr>
      <w:r>
        <w:t>5. Müzakere ve Değerlendirmeler</w:t>
      </w:r>
    </w:p>
    <w:p>
      <w:pPr>
        <w:pStyle w:val="ListBullet"/>
      </w:pPr>
      <w:r>
        <w:rPr/>
        <w:t>Beşinci senaryonun şimdi üretilmesi konusunda başlangıçta olumlu yaklaşılmış; ancak ülke geneli çalışma yapılacağı için bu senaryodan elde edilecek sonucun sınırlı faydası olacağı değerlendirilmiş ve şimdilik başlatılmaması konusunda taraflar hemfikir olmuştur.</w:t>
      </w:r>
    </w:p>
    <w:p>
      <w:pPr>
        <w:pStyle w:val="ListBullet"/>
      </w:pPr>
      <w:r>
        <w:rPr/>
        <w:t>Ekip, aldıkları her kararın sigorta şirketlerinin brokerlarıyla yaptığı çalışmalara yansıyacağını vurgulamış; "attığımız taş ürküttüğümüz kurbağaya değmeli" yaklaşımıyla kapsamlı ve gerçekçi bir çalışmayı savunmuştur.</w:t>
      </w:r>
    </w:p>
    <w:p>
      <w:pPr>
        <w:pStyle w:val="ListBullet"/>
      </w:pPr>
      <w:r>
        <w:rPr/>
        <w:t>Aceleyle yapılacak değişikliklerin tepki doğurabileceği, iyi çalışılmış değişikliklerin ise tepkileri yumuşattığı ve ilk bakışta görünmeyen sorunların çalışma sırasında ortaya çıkabildiği belirtilmiştir.</w:t>
      </w:r>
    </w:p>
    <w:p>
      <w:pPr>
        <w:pStyle w:val="ListBullet"/>
      </w:pPr>
      <w:r>
        <w:rPr/>
        <w:t>SEDDK tarafı, mevzuat değişikliğine ilişkin tarih konusunda henüz bir takvim bulunmadığını; konunun bir ay önce kurula sunulduğunu, yaz tatili nedeniyle değerlendirmenin yapılmadığını, yukarıdan genelde "bir an önce çalışılsın" beklentisi geldiğini belirtmiştir. Önce pilot uygulama yapılması, ilk sene izlenip sonra aktif edilmesi gibi bir yaklaşımın yukarıya arz edilebileceği dile getirilmiştir (kişisel görüş olarak).</w:t>
      </w:r>
    </w:p>
    <w:p>
      <w:pPr>
        <w:pStyle w:val="ListBullet"/>
      </w:pPr>
      <w:r>
        <w:rPr/>
        <w:t>Takvim tartışmasında, 2027 korumalarının büyük şirketlerce zaten görüşüldüğü ve bu çalışmanın 2027'ye yetişmesinin mümkün olmadığı; gerçekçi hedefin 2028 korumaları olduğu konusunda görüş birliği oluşmuştur.</w:t>
      </w:r>
    </w:p>
    <w:p>
      <w:pPr>
        <w:pStyle w:val="Heading1"/>
      </w:pPr>
      <w:r>
        <w:t>6. Kararlar ve Aksiyon Maddeleri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3024"/>
        <w:gridCol w:w="3024"/>
        <w:gridCol w:w="3024"/>
      </w:tblGrid>
      <w:tr>
        <w:trPr>
          <w:tblHeader w:val="true"/>
        </w:trPr>
        <w:tc>
          <w:tcPr>
            <w:tcW w:type="dxa" w:w="567"/>
            <w:shd w:val="clear" w:color="auto" w:fill="1F3864"/>
          </w:tcPr>
          <w:p>
            <w:pPr>
              <w:spacing w:after="0" w:line="240" w:lineRule="auto"/>
            </w:pPr>
            <w:r/>
            <w:r>
              <w:rPr>
                <w:b/>
                <w:color w:val="FFFFFF"/>
                <w:sz w:val="19"/>
              </w:rPr>
              <w:t>#</w:t>
            </w:r>
          </w:p>
        </w:tc>
        <w:tc>
          <w:tcPr>
            <w:tcW w:type="dxa" w:w="5953"/>
            <w:shd w:val="clear" w:color="auto" w:fill="1F3864"/>
          </w:tcPr>
          <w:p>
            <w:pPr>
              <w:spacing w:after="0" w:line="240" w:lineRule="auto"/>
            </w:pPr>
            <w:r/>
            <w:r>
              <w:rPr>
                <w:b/>
                <w:color w:val="FFFFFF"/>
                <w:sz w:val="19"/>
              </w:rPr>
              <w:t>Aksiyon</w:t>
            </w:r>
          </w:p>
        </w:tc>
        <w:tc>
          <w:tcPr>
            <w:tcW w:type="dxa" w:w="2551"/>
            <w:shd w:val="clear" w:color="auto" w:fill="1F3864"/>
          </w:tcPr>
          <w:p>
            <w:pPr>
              <w:spacing w:after="0" w:line="240" w:lineRule="auto"/>
            </w:pPr>
            <w:r/>
            <w:r>
              <w:rPr>
                <w:b/>
                <w:color w:val="FFFFFF"/>
                <w:sz w:val="19"/>
              </w:rPr>
              <w:t>Sorumlu</w:t>
            </w:r>
          </w:p>
        </w:tc>
      </w:tr>
      <w:tr>
        <w:tc>
          <w:tcPr>
            <w:tcW w:type="dxa" w:w="567"/>
            <w:shd w:val="clear" w:color="auto" w:fill="F2F5FA"/>
          </w:tcPr>
          <w:p>
            <w:pPr>
              <w:spacing w:after="0" w:line="240" w:lineRule="auto"/>
            </w:pPr>
            <w:r/>
            <w:r>
              <w:rPr>
                <w:sz w:val="19"/>
              </w:rPr>
              <w:t>1</w:t>
            </w:r>
          </w:p>
        </w:tc>
        <w:tc>
          <w:tcPr>
            <w:tcW w:type="dxa" w:w="5953"/>
            <w:shd w:val="clear" w:color="auto" w:fill="F2F5FA"/>
          </w:tcPr>
          <w:p>
            <w:pPr>
              <w:spacing w:after="0" w:line="240" w:lineRule="auto"/>
            </w:pPr>
            <w:r/>
            <w:r>
              <w:rPr>
                <w:sz w:val="19"/>
              </w:rPr>
              <w:t>Beşinci senaryo (dört senaryonun olasılık ağırlıklı birleşimi) çalışması şimdilik durdurulacak; Türkiye geneli çalışma çerçevesinde yeniden değerlendirilecek.</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2</w:t>
            </w:r>
          </w:p>
        </w:tc>
        <w:tc>
          <w:tcPr>
            <w:tcW w:type="dxa" w:w="5953"/>
            <w:shd w:val="clear" w:color="auto" w:fill="F2F5FA"/>
          </w:tcPr>
          <w:p>
            <w:pPr>
              <w:spacing w:after="0" w:line="240" w:lineRule="auto"/>
            </w:pPr>
            <w:r/>
            <w:r>
              <w:rPr>
                <w:sz w:val="19"/>
              </w:rPr>
              <w:t>Ekip, ayın 20'sinden sonraki haftalarda (seyahatler nedeniyle ayın son haftasında ofiste olacaklar) 1–2 sayfalık, görsel ağırlıklı kısa bir sunum hazırlayarak Türkiye geneli yaklaşımı özetleyecek; kapsamı ve Marmara çalışmasının öngörü gücünü anlatacak.</w:t>
            </w:r>
          </w:p>
        </w:tc>
        <w:tc>
          <w:tcPr>
            <w:tcW w:type="dxa" w:w="2551"/>
            <w:shd w:val="clear" w:color="auto" w:fill="F2F5FA"/>
          </w:tcPr>
          <w:p>
            <w:pPr>
              <w:spacing w:after="0" w:line="240" w:lineRule="auto"/>
            </w:pPr>
            <w:r/>
            <w:r>
              <w:rPr>
                <w:sz w:val="19"/>
              </w:rPr>
              <w:t>Modelleme ekibi</w:t>
            </w:r>
          </w:p>
        </w:tc>
      </w:tr>
      <w:tr>
        <w:tc>
          <w:tcPr>
            <w:tcW w:type="dxa" w:w="567"/>
            <w:shd w:val="clear" w:color="auto" w:fill="F2F5FA"/>
          </w:tcPr>
          <w:p>
            <w:pPr>
              <w:spacing w:after="0" w:line="240" w:lineRule="auto"/>
            </w:pPr>
            <w:r/>
            <w:r>
              <w:rPr>
                <w:sz w:val="19"/>
              </w:rPr>
              <w:t>3</w:t>
            </w:r>
          </w:p>
        </w:tc>
        <w:tc>
          <w:tcPr>
            <w:tcW w:type="dxa" w:w="5953"/>
            <w:shd w:val="clear" w:color="auto" w:fill="F2F5FA"/>
          </w:tcPr>
          <w:p>
            <w:pPr>
              <w:spacing w:after="0" w:line="240" w:lineRule="auto"/>
            </w:pPr>
            <w:r/>
            <w:r>
              <w:rPr>
                <w:sz w:val="19"/>
              </w:rPr>
              <w:t>SEDDK daire başkanı ve başkan yardımcısının katılımıyla yüz yüze (veya çevrimiçi) teknik bir toplantı organize edilecek; tarih her iki tarafın takvimine göre e-postayla netleştirilecek.</w:t>
            </w:r>
          </w:p>
        </w:tc>
        <w:tc>
          <w:tcPr>
            <w:tcW w:type="dxa" w:w="2551"/>
            <w:shd w:val="clear" w:color="auto" w:fill="F2F5FA"/>
          </w:tcPr>
          <w:p>
            <w:pPr>
              <w:spacing w:after="0" w:line="240" w:lineRule="auto"/>
            </w:pPr>
            <w:r/>
            <w:r>
              <w:rPr>
                <w:sz w:val="19"/>
              </w:rPr>
              <w:t>SEDDK ve modelleme ekibi</w:t>
            </w:r>
          </w:p>
        </w:tc>
      </w:tr>
      <w:tr>
        <w:tc>
          <w:tcPr>
            <w:tcW w:type="dxa" w:w="567"/>
            <w:shd w:val="clear" w:color="auto" w:fill="F2F5FA"/>
          </w:tcPr>
          <w:p>
            <w:pPr>
              <w:spacing w:after="0" w:line="240" w:lineRule="auto"/>
            </w:pPr>
            <w:r/>
            <w:r>
              <w:rPr>
                <w:sz w:val="19"/>
              </w:rPr>
              <w:t>4</w:t>
            </w:r>
          </w:p>
        </w:tc>
        <w:tc>
          <w:tcPr>
            <w:tcW w:type="dxa" w:w="5953"/>
            <w:shd w:val="clear" w:color="auto" w:fill="F2F5FA"/>
          </w:tcPr>
          <w:p>
            <w:pPr>
              <w:spacing w:after="0" w:line="240" w:lineRule="auto"/>
            </w:pPr>
            <w:r/>
            <w:r>
              <w:rPr>
                <w:sz w:val="19"/>
              </w:rPr>
              <w:t>Toplantı sonrası kararlar doğrultusunda yol haritası (üç ay civarı proje, bölgesel çalışmalar, veri paylaşımı) oluşturulacak.</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5</w:t>
            </w:r>
          </w:p>
        </w:tc>
        <w:tc>
          <w:tcPr>
            <w:tcW w:type="dxa" w:w="5953"/>
            <w:shd w:val="clear" w:color="auto" w:fill="F2F5FA"/>
          </w:tcPr>
          <w:p>
            <w:pPr>
              <w:spacing w:after="0" w:line="240" w:lineRule="auto"/>
            </w:pPr>
            <w:r/>
            <w:r>
              <w:rPr>
                <w:sz w:val="19"/>
              </w:rPr>
              <w:t>Genel çerçeve gerekirse maddeler halinde yazılı olarak SEDDK'ya aktarılacak.</w:t>
            </w:r>
          </w:p>
        </w:tc>
        <w:tc>
          <w:tcPr>
            <w:tcW w:type="dxa" w:w="2551"/>
            <w:shd w:val="clear" w:color="auto" w:fill="F2F5FA"/>
          </w:tcPr>
          <w:p>
            <w:pPr>
              <w:spacing w:after="0" w:line="240" w:lineRule="auto"/>
            </w:pPr>
            <w:r/>
            <w:r>
              <w:rPr>
                <w:sz w:val="19"/>
              </w:rPr>
              <w:t>Modelleme ekibi</w:t>
            </w:r>
          </w:p>
        </w:tc>
      </w:tr>
      <w:tr>
        <w:tc>
          <w:tcPr>
            <w:tcW w:type="dxa" w:w="567"/>
            <w:shd w:val="clear" w:color="auto" w:fill="F2F5FA"/>
          </w:tcPr>
          <w:p>
            <w:pPr>
              <w:spacing w:after="0" w:line="240" w:lineRule="auto"/>
            </w:pPr>
            <w:r/>
            <w:r>
              <w:rPr>
                <w:sz w:val="19"/>
              </w:rPr>
              <w:t>6</w:t>
            </w:r>
          </w:p>
        </w:tc>
        <w:tc>
          <w:tcPr>
            <w:tcW w:type="dxa" w:w="5953"/>
            <w:shd w:val="clear" w:color="auto" w:fill="F2F5FA"/>
          </w:tcPr>
          <w:p>
            <w:pPr>
              <w:spacing w:after="0" w:line="240" w:lineRule="auto"/>
            </w:pPr>
            <w:r/>
            <w:r>
              <w:rPr>
                <w:sz w:val="19"/>
              </w:rPr>
              <w:t>Pilot uygulama fikrinin (ilk yıl izleme, sonra aktif etme) yukarıya arz edilmesi değerlendirilecek.</w:t>
            </w:r>
          </w:p>
        </w:tc>
        <w:tc>
          <w:tcPr>
            <w:tcW w:type="dxa" w:w="2551"/>
            <w:shd w:val="clear" w:color="auto" w:fill="F2F5FA"/>
          </w:tcPr>
          <w:p>
            <w:pPr>
              <w:spacing w:after="0" w:line="240" w:lineRule="auto"/>
            </w:pPr>
            <w:r/>
            <w:r>
              <w:rPr>
                <w:sz w:val="19"/>
              </w:rPr>
              <w:t>SEDDK</w:t>
            </w:r>
          </w:p>
        </w:tc>
      </w:tr>
    </w:tbl>
    <w:p>
      <w:pPr>
        <w:spacing w:after="40"/>
      </w:pPr>
    </w:p>
    <w:p>
      <w:pPr>
        <w:spacing w:before="240"/>
      </w:pPr>
      <w:r>
        <w:rPr>
          <w:i/>
          <w:color w:val="808080"/>
          <w:sz w:val="18"/>
        </w:rPr>
        <w:t>Not: Bu rapor, toplantı ses kaydının dökümünden düzenlenmiştir. Kayıt toplantının ortasında başlamakta, konuşmacılar ayrılmamakta ve döküm yer yer bozuk olduğundan bazı ifadeler bağlamdan yorumlanmıştır. "Genelge" tarihi kayıtta 2012 ve 2010 olarak iki farklı biçimde geçmektedir. "Ayın 20'si" ve "son hafta" ifadelerinde ay belirtilmemiştir; toplantı tarihine göre Eylül varsayılmıştır. Konuşmacıların hangi kurumdan olduğu (SEDDK ve modelleme ekibi) içerikten çıkarılmıştır. "Ritönperiyod/Rütör periyot" → dönüş süresi (return period) olarak düzeltilmiştir. Toplantı tarihi dosya adından (7 Eylül 2026)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SEDDK Stres Testi ve Dönüş Süresi — Toplantı Raporu</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Toplantı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