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 w:eastAsia="Aptos Display"/>
          <w:b/>
          <w:color w:val="17365D"/>
          <w:sz w:val="60"/>
        </w:rPr>
        <w:t>VM-DOC-SERVER</w:t>
      </w:r>
    </w:p>
    <w:p>
      <w:pPr>
        <w:pStyle w:val="ProjectSubtitle"/>
        <w:jc w:val="center"/>
      </w:pPr>
      <w:r>
        <w:t>Planul lucrărilor rămase și ordinea de implementare</w:t>
      </w:r>
    </w:p>
    <w:p>
      <w:pPr>
        <w:spacing w:before="360"/>
        <w:jc w:val="center"/>
      </w:pPr>
      <w:r>
        <w:rPr>
          <w:color w:val="595959"/>
          <w:sz w:val="22"/>
        </w:rPr>
        <w:t>Versiunea 1.0  •  31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</w:tblGrid>
      <w:tr>
        <w:trPr>
          <w:cantSplit/>
        </w:trPr>
        <w:tc>
          <w:tcPr>
            <w:tcW w:type="dxa" w:w="10080"/>
            <w:shd w:fill="2F559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600"/>
        <w:jc w:val="center"/>
      </w:pPr>
      <w:r>
        <w:rPr>
          <w:b/>
          <w:color w:val="17365D"/>
          <w:sz w:val="24"/>
        </w:rPr>
        <w:t>Obiectiv principal</w:t>
      </w:r>
    </w:p>
    <w:p>
      <w:pPr>
        <w:ind w:left="1152" w:right="1152"/>
        <w:jc w:val="center"/>
      </w:pPr>
      <w:r>
        <w:t>Generarea unei fișe tehnice complete pentru fiecare VM, pe baza datelor colectate de agent, a informațiilor operaționale și a unui template Word, cu export ulterior în PDF și istoric de documente.</w:t>
      </w:r>
    </w:p>
    <w:p>
      <w:pPr>
        <w:pStyle w:val="SmallNote"/>
        <w:spacing w:before="2200"/>
        <w:jc w:val="center"/>
      </w:pPr>
      <w:r>
        <w:t>Document de referință pentru urmărirea implementării. Se actualizează pe măsură ce etapele sunt închise.</w:t>
      </w:r>
    </w:p>
    <w:p>
      <w:r>
        <w:br w:type="page"/>
      </w:r>
    </w:p>
    <w:p>
      <w:pPr>
        <w:pStyle w:val="Heading1"/>
      </w:pPr>
      <w:r>
        <w:t>1. Situația actuală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2"/>
              </w:rPr>
              <w:t>✓ Autentificare și autorizare OIDC</w:t>
            </w:r>
          </w:p>
          <w:p>
            <w:pPr>
              <w:spacing w:after="0"/>
            </w:pPr>
            <w:r>
              <w:t>Rezolvat: utilizatorii din Active Directory sunt autentificați prin Keycloak, iar grupul AD LinuxAdmin ajunge în Keycloak și oferă acces complet în aplicație.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2"/>
              </w:rPr>
              <w:t>i Colectare manuală</w:t>
            </w:r>
          </w:p>
          <w:p>
            <w:pPr>
              <w:spacing w:after="0"/>
            </w:pPr>
            <w:r>
              <w:t>În testul curent funcționează normal. Eroarea observată anterior la primul click nu s-a mai reprodus; rămâne doar de urmărit dacă reapare.</w:t>
            </w:r>
          </w:p>
        </w:tc>
      </w:tr>
    </w:tbl>
    <w:p>
      <w:pPr>
        <w:pStyle w:val="Heading2"/>
      </w:pPr>
      <w:r>
        <w:t>Componente deja funcționale</w:t>
      </w:r>
    </w:p>
    <w:p>
      <w:pPr>
        <w:pStyle w:val="Checklist"/>
      </w:pPr>
      <w:r>
        <w:rPr>
          <w:rFonts w:ascii="DejaVu Sans" w:hAnsi="DejaVu Sans" w:eastAsia="DejaVu Sans"/>
          <w:b/>
          <w:color w:val="548235"/>
        </w:rPr>
        <w:t xml:space="preserve">☑ </w:t>
      </w:r>
      <w:r>
        <w:t>Agentul Go colectează datele tehnice și expune API-ul securizat cu Bearer Token.</w:t>
      </w:r>
    </w:p>
    <w:p>
      <w:pPr>
        <w:pStyle w:val="Checklist"/>
      </w:pPr>
      <w:r>
        <w:rPr>
          <w:rFonts w:ascii="DejaVu Sans" w:hAnsi="DejaVu Sans" w:eastAsia="DejaVu Sans"/>
          <w:b/>
          <w:color w:val="548235"/>
        </w:rPr>
        <w:t xml:space="preserve">☑ </w:t>
      </w:r>
      <w:r>
        <w:t>Serverul central Go rulează cu MariaDB, migrații, inventar și istoric de colectări.</w:t>
      </w:r>
    </w:p>
    <w:p>
      <w:pPr>
        <w:pStyle w:val="Checklist"/>
      </w:pPr>
      <w:r>
        <w:rPr>
          <w:rFonts w:ascii="DejaVu Sans" w:hAnsi="DejaVu Sans" w:eastAsia="DejaVu Sans"/>
          <w:b/>
          <w:color w:val="548235"/>
        </w:rPr>
        <w:t xml:space="preserve">☑ </w:t>
      </w:r>
      <w:r>
        <w:t>Interfața web permite gestionarea agenților și pornirea colectării.</w:t>
      </w:r>
    </w:p>
    <w:p>
      <w:pPr>
        <w:pStyle w:val="Checklist"/>
      </w:pPr>
      <w:r>
        <w:rPr>
          <w:rFonts w:ascii="DejaVu Sans" w:hAnsi="DejaVu Sans" w:eastAsia="DejaVu Sans"/>
          <w:b/>
          <w:color w:val="548235"/>
        </w:rPr>
        <w:t xml:space="preserve">☑ </w:t>
      </w:r>
      <w:r>
        <w:t>Autentificarea LDAP și autentificarea OIDC cu Keycloak sunt funcționale.</w:t>
      </w:r>
    </w:p>
    <w:p>
      <w:pPr>
        <w:pStyle w:val="Checklist"/>
      </w:pPr>
      <w:r>
        <w:rPr>
          <w:rFonts w:ascii="DejaVu Sans" w:hAnsi="DejaVu Sans" w:eastAsia="DejaVu Sans"/>
          <w:b/>
          <w:color w:val="548235"/>
        </w:rPr>
        <w:t xml:space="preserve">☑ </w:t>
      </w:r>
      <w:r>
        <w:t>Publicarea prin Nginx/HTTPS este funcțională, iar agenții continuă să comunice cu serverul.</w:t>
      </w:r>
    </w:p>
    <w:p>
      <w:pPr>
        <w:pStyle w:val="Heading1"/>
      </w:pPr>
      <w:r>
        <w:t>2. Ținta MVP</w:t>
      </w:r>
    </w:p>
    <w:p>
      <w:pPr>
        <w:spacing w:after="120"/>
      </w:pPr>
      <w:r>
        <w:t>Prima versiune complet utilizabilă trebuie să livreze următorul flux: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  <w:shd w:fill="D9EAF7"/>
            <w:tcMar>
              <w:top w:w="150" w:type="dxa"/>
              <w:start w:w="60" w:type="dxa"/>
              <w:bottom w:w="1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Colectare</w:t>
            </w:r>
          </w:p>
        </w:tc>
        <w:tc>
          <w:tcPr>
            <w:tcW w:type="dxa" w:w="1440"/>
            <w:shd w:fill="F4F7FA"/>
            <w:tcMar>
              <w:top w:w="150" w:type="dxa"/>
              <w:start w:w="60" w:type="dxa"/>
              <w:bottom w:w="1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Normalizare</w:t>
            </w:r>
          </w:p>
        </w:tc>
        <w:tc>
          <w:tcPr>
            <w:tcW w:type="dxa" w:w="1440"/>
            <w:shd w:fill="D9EAF7"/>
            <w:tcMar>
              <w:top w:w="150" w:type="dxa"/>
              <w:start w:w="60" w:type="dxa"/>
              <w:bottom w:w="1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Fișă VM</w:t>
            </w:r>
          </w:p>
        </w:tc>
        <w:tc>
          <w:tcPr>
            <w:tcW w:type="dxa" w:w="1440"/>
            <w:shd w:fill="F4F7FA"/>
            <w:tcMar>
              <w:top w:w="150" w:type="dxa"/>
              <w:start w:w="60" w:type="dxa"/>
              <w:bottom w:w="1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Date manuale</w:t>
            </w:r>
          </w:p>
        </w:tc>
        <w:tc>
          <w:tcPr>
            <w:tcW w:type="dxa" w:w="1440"/>
            <w:shd w:fill="D9EAF7"/>
            <w:tcMar>
              <w:top w:w="150" w:type="dxa"/>
              <w:start w:w="60" w:type="dxa"/>
              <w:bottom w:w="1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Template DOCX</w:t>
            </w:r>
          </w:p>
        </w:tc>
        <w:tc>
          <w:tcPr>
            <w:tcW w:type="dxa" w:w="1440"/>
            <w:shd w:fill="F4F7FA"/>
            <w:tcMar>
              <w:top w:w="150" w:type="dxa"/>
              <w:start w:w="60" w:type="dxa"/>
              <w:bottom w:w="1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Word + PDF</w:t>
            </w:r>
          </w:p>
        </w:tc>
        <w:tc>
          <w:tcPr>
            <w:tcW w:type="dxa" w:w="1440"/>
            <w:shd w:fill="D9EAF7"/>
            <w:tcMar>
              <w:top w:w="150" w:type="dxa"/>
              <w:start w:w="60" w:type="dxa"/>
              <w:bottom w:w="15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Istoric</w:t>
            </w:r>
          </w:p>
        </w:tc>
      </w:tr>
    </w:tbl>
    <w:p>
      <w:pPr>
        <w:pStyle w:val="SmallNote"/>
      </w:pPr>
      <w:r>
        <w:t>Semnarea electronică a PDF-ului intră în etapa următoare, după stabilizarea generării Word/PDF și a versionării documentelor.</w:t>
      </w:r>
    </w:p>
    <w:p>
      <w:pPr>
        <w:pStyle w:val="Heading1"/>
      </w:pPr>
      <w:r>
        <w:t>3. Cuprinsul lucrărilor rămase</w:t>
      </w:r>
    </w:p>
    <w:p>
      <w:pPr>
        <w:spacing w:after="40"/>
        <w:ind w:left="216"/>
      </w:pPr>
      <w:r>
        <w:rPr>
          <w:b/>
          <w:color w:val="2F5597"/>
        </w:rPr>
        <w:t xml:space="preserve">4. </w:t>
      </w:r>
      <w:r>
        <w:t>Stabilizarea colectării și a joburilor</w:t>
      </w:r>
    </w:p>
    <w:p>
      <w:pPr>
        <w:spacing w:after="40"/>
        <w:ind w:left="216"/>
      </w:pPr>
      <w:r>
        <w:rPr>
          <w:b/>
          <w:color w:val="2F5597"/>
        </w:rPr>
        <w:t xml:space="preserve">5. </w:t>
      </w:r>
      <w:r>
        <w:t>Modelul și normalizarea datelor VM</w:t>
      </w:r>
    </w:p>
    <w:p>
      <w:pPr>
        <w:spacing w:after="40"/>
        <w:ind w:left="216"/>
      </w:pPr>
      <w:r>
        <w:rPr>
          <w:b/>
          <w:color w:val="2F5597"/>
        </w:rPr>
        <w:t xml:space="preserve">6. </w:t>
      </w:r>
      <w:r>
        <w:t>Pagina detaliată a VM-ului</w:t>
      </w:r>
    </w:p>
    <w:p>
      <w:pPr>
        <w:spacing w:after="40"/>
        <w:ind w:left="216"/>
      </w:pPr>
      <w:r>
        <w:rPr>
          <w:b/>
          <w:color w:val="2F5597"/>
        </w:rPr>
        <w:t xml:space="preserve">7. </w:t>
      </w:r>
      <w:r>
        <w:t>Date operaționale introduse manual</w:t>
      </w:r>
    </w:p>
    <w:p>
      <w:pPr>
        <w:spacing w:after="40"/>
        <w:ind w:left="216"/>
      </w:pPr>
      <w:r>
        <w:rPr>
          <w:b/>
          <w:color w:val="2F5597"/>
        </w:rPr>
        <w:t xml:space="preserve">8. </w:t>
      </w:r>
      <w:r>
        <w:t>Sistemul de template-uri Word</w:t>
      </w:r>
    </w:p>
    <w:p>
      <w:pPr>
        <w:spacing w:after="40"/>
        <w:ind w:left="216"/>
      </w:pPr>
      <w:r>
        <w:rPr>
          <w:b/>
          <w:color w:val="2F5597"/>
        </w:rPr>
        <w:t xml:space="preserve">9. </w:t>
      </w:r>
      <w:r>
        <w:t>Generarea documentului Word</w:t>
      </w:r>
    </w:p>
    <w:p>
      <w:pPr>
        <w:spacing w:after="40"/>
        <w:ind w:left="216"/>
      </w:pPr>
      <w:r>
        <w:rPr>
          <w:b/>
          <w:color w:val="2F5597"/>
        </w:rPr>
        <w:t xml:space="preserve">10. </w:t>
      </w:r>
      <w:r>
        <w:t>Conversia și generarea PDF</w:t>
      </w:r>
    </w:p>
    <w:p>
      <w:pPr>
        <w:spacing w:after="40"/>
        <w:ind w:left="216"/>
      </w:pPr>
      <w:r>
        <w:rPr>
          <w:b/>
          <w:color w:val="2F5597"/>
        </w:rPr>
        <w:t xml:space="preserve">11. </w:t>
      </w:r>
      <w:r>
        <w:t>Istoric, versionare și comparații</w:t>
      </w:r>
    </w:p>
    <w:p>
      <w:pPr>
        <w:spacing w:after="40"/>
        <w:ind w:left="216"/>
      </w:pPr>
      <w:r>
        <w:rPr>
          <w:b/>
          <w:color w:val="2F5597"/>
        </w:rPr>
        <w:t xml:space="preserve">12. </w:t>
      </w:r>
      <w:r>
        <w:t>Aprobare și semnare PDF</w:t>
      </w:r>
    </w:p>
    <w:p>
      <w:pPr>
        <w:spacing w:after="40"/>
        <w:ind w:left="216"/>
      </w:pPr>
      <w:r>
        <w:rPr>
          <w:b/>
          <w:color w:val="2F5597"/>
        </w:rPr>
        <w:t xml:space="preserve">13. </w:t>
      </w:r>
      <w:r>
        <w:t>Administrare, securitate și audit</w:t>
      </w:r>
    </w:p>
    <w:p>
      <w:pPr>
        <w:spacing w:after="40"/>
        <w:ind w:left="216"/>
      </w:pPr>
      <w:r>
        <w:rPr>
          <w:b/>
          <w:color w:val="2F5597"/>
        </w:rPr>
        <w:t xml:space="preserve">14. </w:t>
      </w:r>
      <w:r>
        <w:t>Documentație, testare și lansare</w:t>
      </w:r>
    </w:p>
    <w:p>
      <w:pPr>
        <w:spacing w:after="40"/>
        <w:ind w:left="216"/>
      </w:pPr>
      <w:r>
        <w:rPr>
          <w:b/>
          <w:color w:val="2F5597"/>
        </w:rPr>
        <w:t xml:space="preserve">15. </w:t>
      </w:r>
      <w:r>
        <w:t>Ordinea recomandată de implementare</w:t>
      </w:r>
    </w:p>
    <w:p>
      <w:r>
        <w:br w:type="page"/>
      </w:r>
    </w:p>
    <w:p>
      <w:pPr>
        <w:pStyle w:val="Heading1"/>
      </w:pPr>
      <w:r>
        <w:t>4. Stabilizarea colectării și a joburilor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Activitate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Prioritate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Stare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Criteriu de închidere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4.1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Definirea stărilor jobului: queued, running, success, partial, failed, timeout.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2CC"/>
          </w:tcPr>
          <w:p>
            <w:pPr>
              <w:spacing w:after="0"/>
            </w:pPr>
            <w:r>
              <w:rPr>
                <w:sz w:val="17"/>
              </w:rPr>
              <w:t>Următorul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Fiecare colectare are o stare unică și corectă.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4.2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Salvarea datei de pornire, finalizare, duratei, utilizatorului și erorii.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Detaliile jobului sunt vizibile în UI și DB.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4.3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Prevenirea colectărilor suprapuse pentru același agent.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Nu pornesc două joburi simultan pe același VM.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4.4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Retry controlat și timeout configurabil.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Retry-ul nu produce duplicate și respectă limitele.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4.5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Colectare periodică și dezactivare individuală per agent.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Intervalul este configurabil și poate fi oprit per agent.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4.6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Stare online/offline și ultima colectare reușită.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Lista agenților arată starea și vechimea datelor.</w:t>
            </w:r>
          </w:p>
        </w:tc>
      </w:tr>
    </w:tbl>
    <w:p>
      <w:pPr>
        <w:pStyle w:val="Heading1"/>
      </w:pPr>
      <w:r>
        <w:t>5. Modelul și normalizarea datelor VM</w:t>
      </w:r>
    </w:p>
    <w:p>
      <w:r>
        <w:t>Datele agentului trebuie transformate într-un model intern stabil, versionat și independent de modul în care fiecare sistem de operare raportează informațiile.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Identificare: hostname, FQDN, UUID, serial, OS, kernel, arhitectură, uptime.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Resurse: vCPU, memorie, discuri, hypervisor și VMware Tools.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Rețea: interfețe, IPv4, gateway, DNS, rute și proxy.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Stocare: discuri, partiții, LVM, filesystem, mount points, capacitate și spațiu liber.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Servicii și porturi: servicii active/la boot, procese și porturi ascultate.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Securitate: firewall, utilizatori administrativi, grupuri, sudo și politici.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Integrări: SSSD, GLPI Agent, Auditbeat, Filebeat, syslog, Prometheus, SNMP, Veeam, NTP și logrotate.</w:t>
      </w:r>
    </w:p>
    <w:p>
      <w:pPr>
        <w:pStyle w:val="Heading2"/>
      </w:pPr>
      <w:r>
        <w:t>Reguli obligatorii de afișare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Diferențiere între „nu este instalat”, „instalat dar oprit”, „nu s-a putut determina” și „colector nesuportat”.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Eliminarea valorilor null din interfață și documente.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Versionarea schemei de inventar și compatibilitate cu agenți mai vechi.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Păstrarea valorii brute, a valorii normalizate și a sursei informației acolo unde este necesar.</w:t>
      </w:r>
    </w:p>
    <w:p>
      <w:pPr>
        <w:pStyle w:val="Heading1"/>
      </w:pPr>
      <w:r>
        <w:t>6. Pagina detaliată a VM-ului</w:t>
      </w:r>
    </w:p>
    <w:p>
      <w:r>
        <w:t>Pagina va fi aerisită și împărțită pe carduri/secțiuni, într-un stil apropiat de logica GLPI, fără copierea interfeței.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Activitate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Prioritate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Stare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Criteriu de închidere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6.1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Carduri pentru identificare, stare agent, resurse și ultima colectare.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Informația esențială este vizibilă fără scroll mare.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6.2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Secțiuni pentru OS, rețea, stocare, servicii, porturi, securitate și integrări.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Toate datele normalizate sunt afișate logic.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6.3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Carduri pliabile și căutare în servicii/porturi.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Listele mari pot fi filtrate și restrânse.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6.4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Butoane Colectează acum și Generează fișa.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Acțiunile principale sunt disponibile în pagina VM.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6.5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Afișarea sursei informației: agent, manual, vCenter, GLPI sau import extern.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Fiecare câmp important are sursa identificabilă.</w:t>
            </w:r>
          </w:p>
        </w:tc>
      </w:tr>
    </w:tbl>
    <w:p>
      <w:pPr>
        <w:pStyle w:val="Heading1"/>
      </w:pPr>
      <w:r>
        <w:t>7. Date operaționale introduse manual</w:t>
      </w:r>
    </w:p>
    <w:p>
      <w:r>
        <w:t>Informațiile care nu pot fi colectate sigur de agent trebuie editate separat, fără să fie suprascrise de colectările viitoare.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Serviciu, componentă, layer și environment.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Administrator, responsabil și date de contact.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Scopul VM-ului și profilul de provisionare.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Data provisionării și data comenzii, unde există.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RPO, RTO și politica de backup.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Clasificare, status activ/retired/dezafectat și observații.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Linkuri către documentația serviciului, appliance-ului sau altor VM-uri asociate.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2"/>
              </w:rPr>
              <w:t>! Regulă de proiectare</w:t>
            </w:r>
          </w:p>
          <w:p>
            <w:pPr>
              <w:spacing w:after="0"/>
            </w:pPr>
            <w:r>
              <w:t>Datele manuale se stochează separat de snapshot-ul colectat de agent. O colectare nouă nu trebuie să șteargă sau să modifice informațiile operaționale.</w:t>
            </w:r>
          </w:p>
        </w:tc>
      </w:tr>
    </w:tbl>
    <w:p>
      <w:pPr>
        <w:pStyle w:val="Heading1"/>
      </w:pPr>
      <w:r>
        <w:t>8. Sistemul de template-uri 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Activitate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Prioritate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Stare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Criteriu de închidere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8.1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Încărcare template .docx cu nume, descriere și versiune.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 administrator poate încărca și activa un template.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8.2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Template implicit și activ/inactiv.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Există un template selectat automat la generare.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8.3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Istoric versiuni și test pe un VM ales.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Template-ul poate fi validat înainte de publicare.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8.4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Variabile simple și blocuri repetitive pentru liste/tabele.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Interfețele, discurile, serviciile și porturile se generează dinamic.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8.5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Condiții pentru ascunderea secțiunilor fără date.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Documentul nu conține capitole goale sau valori null.</w:t>
            </w:r>
          </w:p>
        </w:tc>
      </w:tr>
    </w:tbl>
    <w:p>
      <w:pPr>
        <w:pStyle w:val="Heading2"/>
      </w:pPr>
      <w:r>
        <w:t>Exemple de variabile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Mono" w:hAnsi="Liberation Mono" w:eastAsia="Liberation Mono"/>
                <w:sz w:val="18"/>
              </w:rPr>
              <w:t>{{ vm.hostname }}</w:t>
              <w:br/>
              <w:t>{{ vm.fqdn }}</w:t>
              <w:br/>
              <w:t>{{ vm.os.name }}</w:t>
              <w:br/>
              <w:t>{{ vm.os.version }}</w:t>
              <w:br/>
              <w:t>{{ vm.cpu.count }}</w:t>
              <w:br/>
              <w:t>{{ vm.memory.total }}</w:t>
            </w:r>
          </w:p>
        </w:tc>
        <w:tc>
          <w:tcPr>
            <w:tcW w:type="dxa" w:w="5040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Mono" w:hAnsi="Liberation Mono" w:eastAsia="Liberation Mono"/>
                <w:sz w:val="18"/>
              </w:rPr>
              <w:t>{{ vm.network.interfaces }}</w:t>
              <w:br/>
              <w:t>{{ vm.storage.filesystems }}</w:t>
              <w:br/>
              <w:t>{{ vm.services }}</w:t>
              <w:br/>
              <w:t>{{ vm.listening_ports }}</w:t>
              <w:br/>
              <w:t>{{ operational.environment }}</w:t>
              <w:br/>
              <w:t>{{ generated_at }}</w:t>
            </w:r>
          </w:p>
        </w:tc>
      </w:tr>
    </w:tbl>
    <w:p>
      <w:pPr>
        <w:pStyle w:val="Heading1"/>
      </w:pPr>
      <w:r>
        <w:t>9. Generarea documentului Word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Activitate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Prioritate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Stare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Criteriu de închidere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9.1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Combinarea datelor agentului cu datele operaționale.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Motorul primește un model complet și coerent.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9.2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Înlocuirea variabilelor și generarea tabelelor.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DOCX-ul conține corect toate secțiunile și listele.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9.3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Antet, subsol, versiune, dată și utilizator generator.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Documentul este identificabil și auditabil.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9.4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Salvarea fișierului în aplicație și descărcarea lui.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Fișierul este stocat și poate fi descărcat ulterior.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9.5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Validarea template-ului și mesaje clare de eroare.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Template-urile invalide nu produc documente incomplete.</w:t>
            </w:r>
          </w:p>
        </w:tc>
      </w:tr>
    </w:tbl>
    <w:p>
      <w:pPr>
        <w:pStyle w:val="Heading1"/>
      </w:pPr>
      <w:r>
        <w:t>10. Conversia și generarea PDF</w:t>
      </w:r>
    </w:p>
    <w:p>
      <w:r>
        <w:t>Flux recomandat: DOCX generat → LibreOffice headless → PDF verificat → salvare în istoricul VM-ului.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Proces de conversie izolat de serverul web.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Timeout configurabil și directoare temporare unice.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Curățarea automată a fișierelor temporare.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Verificarea existenței și dimensiunii PDF-ului rezultat.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Păstrarea legăturii dintre documentul DOCX și PDF.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Mesaj de eroare util în cazul conversiei eșuate.</w:t>
      </w:r>
    </w:p>
    <w:p>
      <w:pPr>
        <w:pStyle w:val="Heading1"/>
      </w:pPr>
      <w:r>
        <w:t>11. Istoric, versionare și comparații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Istoricul colectărilor și selectarea snapshot-ului folosit la generare.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Istoricul modificărilor pentru datele manuale.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Versiunea template-ului utilizat pentru fiecare document.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Utilizatorul, data generării și hash-ul documentului.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Stări document: draft, generat, aprobat, semnat, retras.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Comparație între două colectări: resurse, IP-uri, servicii, integrări și porturi.</w:t>
      </w:r>
    </w:p>
    <w:p>
      <w:pPr>
        <w:pStyle w:val="Heading1"/>
      </w:pPr>
      <w:r>
        <w:t>12. Aprobare și semnare PDF</w:t>
      </w:r>
    </w:p>
    <w:p>
      <w:r>
        <w:t>Această etapă începe după ce generarea Word/PDF și istoricul documentelor sunt stabile.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Activitate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Prioritate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Stare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Criteriu de închidere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12.1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Flux draft → aprobat → semnat.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Ulterior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Doar documentele aprobate pot fi semnate.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12.2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Alegerea mecanismului: semnare locală, centralizată sau serviciu extern.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Ulterior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Este documentat modelul de securitate al cheii private.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12.3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Păstrarea documentului nesemnat și semnat.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Ulterior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Ambele variante sunt legate și auditabile.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12.4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Validarea certificatului, hash și jurnalul operațiunii.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P2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Ulterior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Semnătura poate fi verificată ulterior.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b/>
                <w:color w:val="17365D"/>
                <w:sz w:val="22"/>
              </w:rPr>
              <w:t>! Cerință de securitate</w:t>
            </w:r>
          </w:p>
          <w:p>
            <w:pPr>
              <w:spacing w:after="0"/>
            </w:pPr>
            <w:r>
              <w:t>Cheia privată de semnare nu se salvează direct în baza de date a aplicației.</w:t>
            </w:r>
          </w:p>
        </w:tc>
      </w:tr>
    </w:tbl>
    <w:p>
      <w:pPr>
        <w:pStyle w:val="Heading1"/>
      </w:pPr>
      <w:r>
        <w:t>13. Administrare, securitate și audit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Roluri: Administrator, Operator, Read-only și acces refuzat pentru utilizatorii neautorizați.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Administrarea grupurilor OIDC/LDAP și maparea lor pe roluri.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Configurarea agenților, intervalelor de colectare și retenției.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Administrarea template-urilor și a conversiei PDF.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Audit pentru autentificări, colectări, modificări manuale, template-uri, generări și descărcări.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Protecție CSRF, cookie Secure/HttpOnly/SameSite și expirarea sesiunilor.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Politică de backup și restore pentru baza de date și documente.</w:t>
      </w:r>
    </w:p>
    <w:p>
      <w:pPr>
        <w:pStyle w:val="Heading1"/>
      </w:pPr>
      <w:r>
        <w:t>14. Documentație, testare și lansare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Activitate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Prioritate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Stare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Criteriu de închidere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14.1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Ghid de instalare online/offline și configurare server/agent.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Instalarea poate fi repetată pe un server nou.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14.2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Documentare LDAP, Keycloak/OIDC și Nginx.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Parțial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Configurațiile sunt descrise și reproductibile.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14.3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OpenAPI/Swagger pentru API.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Endpoint-urile sunt documentate și testabile.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14.4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Testare pe Ubuntu, Debian, CentOS 7 și SUSE 11.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P0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Aceeași fișă se generează corect pentru toate platformele.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14.5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Proceduri de backup, restore și upgrade.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Upgrade-ul nu pierde inventarul sau documentele.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14.6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Changelog și etichetarea versiunilor.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P1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De făcut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7"/>
              </w:rPr>
              <w:t>Fiecare livrare are modificările și schema compatibilă.</w:t>
            </w:r>
          </w:p>
        </w:tc>
      </w:tr>
    </w:tbl>
    <w:p>
      <w:pPr>
        <w:pStyle w:val="Heading1"/>
      </w:pPr>
      <w:r>
        <w:t>15. Ordinea recomandată de implementare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Pas</w:t>
            </w:r>
          </w:p>
        </w:tc>
        <w:tc>
          <w:tcPr>
            <w:tcW w:type="dxa" w:w="3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Activitate</w:t>
            </w:r>
          </w:p>
        </w:tc>
        <w:tc>
          <w:tcPr>
            <w:tcW w:type="dxa" w:w="336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Prioritate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Închidem modelul stărilor de colectare și metadatele jobului.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Definim modelul normalizat al datelor VM și regulile pentru valori lipsă.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Construim pagina detaliată a VM-ului pe carduri și secțiuni.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Adăugăm formularul și stocarea separată pentru datele operaționale.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Definim primul template DOCX și nomenclatorul de variabile.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Implementăm motorul de generare Word, inclusiv tabelele repetitive.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Adăugăm conversia Word → PDF și tratarea erorilor.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Salvăm documentele și istoricul versiunilor per VM.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Adăugăm comparația între colectări, auditul și administrarea completă.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/>
              <w:jc w:val="center"/>
            </w:pPr>
            <w:r>
              <w:rPr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Implementăm aprobarea și semnarea electronică a PDF-ului.</w:t>
            </w:r>
          </w:p>
        </w:tc>
        <w:tc>
          <w:tcPr>
            <w:tcW w:type="dxa" w:w="3360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/>
              <w:jc w:val="center"/>
            </w:pPr>
            <w:r>
              <w:rPr>
                <w:sz w:val="18"/>
              </w:rPr>
              <w:t>P2</w:t>
            </w:r>
          </w:p>
        </w:tc>
      </w:tr>
    </w:tbl>
    <w:p>
      <w:pPr>
        <w:pStyle w:val="Heading2"/>
      </w:pPr>
      <w:r>
        <w:t>Următorul sprint recomandat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Modelul stărilor de colectare și structura tabelului de joburi.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Schema normalizată pentru Identificare, Resurse, Rețea, Stocare, Servicii și Integrări.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Prima versiune a paginii VM cu carduri și datele deja colectate.</w:t>
      </w:r>
    </w:p>
    <w:p>
      <w:pPr>
        <w:pStyle w:val="Checklist"/>
      </w:pPr>
      <w:r>
        <w:rPr>
          <w:rFonts w:ascii="DejaVu Sans" w:hAnsi="DejaVu Sans" w:eastAsia="DejaVu Sans"/>
          <w:b/>
          <w:color w:val="595959"/>
        </w:rPr>
        <w:t xml:space="preserve">☐ </w:t>
      </w:r>
      <w:r>
        <w:t>Câmpurile manuale minime: serviciu, environment, administrator, scop, status și observații.</w:t>
      </w:r>
    </w:p>
    <w:p>
      <w:pPr>
        <w:pStyle w:val="Heading2"/>
      </w:pPr>
      <w:r>
        <w:t>Fișă scurtă de urmărire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☑ OIDC + grup AD LinuxAdmin</w:t>
            </w:r>
          </w:p>
        </w:tc>
        <w:tc>
          <w:tcPr>
            <w:tcW w:type="dxa" w:w="5040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☑ Colectare manuală funcțională</w:t>
            </w:r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Stări și metadate joburi</w:t>
            </w:r>
          </w:p>
        </w:tc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Model de date normalizat</w:t>
            </w:r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Pagină VM pe carduri</w:t>
            </w:r>
          </w:p>
        </w:tc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Date manuale separate</w:t>
            </w:r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Template DOCX v1</w:t>
            </w:r>
          </w:p>
        </w:tc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Generare Word</w:t>
            </w:r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Conversie PDF</w:t>
            </w:r>
          </w:p>
        </w:tc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Istoric documente</w:t>
            </w:r>
          </w:p>
        </w:tc>
      </w:tr>
      <w:tr>
        <w:trPr>
          <w:cantSplit/>
        </w:trPr>
        <w:tc>
          <w:tcPr>
            <w:tcW w:type="dxa" w:w="5040"/>
            <w:shd w:fill="F4F7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DejaVu Sans" w:hAnsi="DejaVu Sans" w:eastAsia="DejaVu Sans"/>
                <w:sz w:val="18"/>
              </w:rPr>
              <w:t>☐ Aprobare și semnare</w:t>
            </w:r>
          </w:p>
        </w:tc>
        <w:tc>
          <w:tcPr>
            <w:tcW w:type="dxa" w:w="5040"/>
            <w:shd w:fill="FFFFFF"/>
          </w:tcPr>
          <w:p>
            <w:r/>
          </w:p>
        </w:tc>
      </w:tr>
    </w:tbl>
    <w:p>
      <w:pPr>
        <w:pStyle w:val="SmallNote"/>
        <w:spacing w:before="240"/>
      </w:pPr>
      <w:r>
        <w:t>Observație: acest document este un plan de lucru. După fiecare etapă finalizată, se actualizează starea, criteriul de închidere și ordinea următoarelor activități.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7"/>
      </w:rPr>
      <w:t>Document de lucru actualizat la 31.08.2026</w:t>
    </w:r>
  </w:p>
  <w:p>
    <w:pPr>
      <w:jc w:val="right"/>
    </w:pPr>
    <w:r>
      <w:rPr>
        <w:sz w:val="17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VM-DOC-SERVER  |  Plan de lucru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Subtitle">
    <w:name w:val="Project Subtitle"/>
    <w:pPr>
      <w:spacing w:after="120"/>
    </w:pPr>
    <w:rPr>
      <w:rFonts w:ascii="Aptos" w:hAnsi="Aptos" w:eastAsia="Aptos"/>
      <w:color w:val="595959"/>
      <w:sz w:val="28"/>
    </w:rPr>
  </w:style>
  <w:style w:type="paragraph" w:customStyle="1" w:styleId="SmallNote">
    <w:name w:val="Small Note"/>
    <w:pPr>
      <w:spacing w:after="60"/>
    </w:pPr>
    <w:rPr>
      <w:rFonts w:ascii="Aptos" w:hAnsi="Aptos" w:eastAsia="Aptos"/>
      <w:color w:val="595959"/>
      <w:sz w:val="17"/>
    </w:rPr>
  </w:style>
  <w:style w:type="paragraph" w:customStyle="1" w:styleId="Checklist">
    <w:name w:val="Checklist"/>
    <w:pPr>
      <w:spacing w:after="60"/>
      <w:ind w:left="259" w:hanging="259"/>
    </w:pPr>
    <w:rPr>
      <w:rFonts w:ascii="Aptos" w:hAnsi="Aptos" w:eastAsia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VM-DOC-SERVER - Planul lucrărilor rămase</dc:title>
  <dc:subject>Roadmap și checklist pentru dezvoltarea aplicației vm-doc-server</dc:subject>
  <dc:creator>OpenAI</dc:creator>
  <cp:keywords>vm-doc-server, VM, documentație, Word, PDF, Keycloak, roadmap</cp:keywords>
  <dc:description>Document de lucru generat la 31.08.2026.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