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F1" w:rsidRPr="004850DB" w:rsidRDefault="004850DB" w:rsidP="004850DB">
      <w:pPr>
        <w:jc w:val="center"/>
        <w:rPr>
          <w:rFonts w:asciiTheme="minorHAnsi" w:hAnsiTheme="minorHAnsi" w:cstheme="minorHAnsi"/>
          <w:sz w:val="32"/>
          <w:szCs w:val="32"/>
        </w:rPr>
      </w:pPr>
      <w:r w:rsidRPr="004850DB">
        <w:rPr>
          <w:rFonts w:asciiTheme="minorHAnsi" w:hAnsiTheme="minorHAnsi" w:cstheme="minorHAnsi"/>
          <w:sz w:val="32"/>
          <w:szCs w:val="32"/>
        </w:rPr>
        <w:t>FLUJO DE EVENTOS DE LOS CASOS DE USO QUE PERTENECEN AL TECNICO</w:t>
      </w: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CU-T001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Nombre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Consultar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Artículos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Permite consultar los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artículos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en espera de ser revisados, reparados o recogidos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Actores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4850D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Técnico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Precondiciones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El actor debe estar previamente autenticado en el sistema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Poscondiciones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Se cambia el estado del articulo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Flujo normal de eventos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1.El actor  ejecuta el evento Consultar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Artículos</w:t>
            </w:r>
          </w:p>
          <w:p w:rsidR="001A7AF1" w:rsidRPr="004850DB" w:rsidRDefault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gramStart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2.El</w:t>
            </w:r>
            <w:proofErr w:type="gramEnd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sistema cambia a otra vista.</w:t>
            </w:r>
          </w:p>
          <w:p w:rsidR="001A7AF1" w:rsidRPr="004850DB" w:rsidRDefault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3.El sistema muestra los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artículos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filtrados a partir del rol que ejecute el evento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Flujos alternos y excepciones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1A7AF1">
            <w:pPr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</w:tbl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CU-T002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Nombre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Revisar Articulo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3539D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Este campo permitirá visualizar los detalles de cada articulo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Actores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4850D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técnico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Precondiciones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3539D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Estar en la interfaz de “consultar artículos”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Poscondiciones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3539D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Cambia el estado del articulo a “en revisión”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Flujo normal de eventos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93539D" w:rsidRPr="004850DB" w:rsidRDefault="0093539D" w:rsidP="0093539D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gramStart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1.El</w:t>
            </w:r>
            <w:proofErr w:type="gramEnd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actor selecciona la opción de revisar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</w:t>
            </w:r>
            <w:r w:rsid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93539D" w:rsidRPr="004850DB" w:rsidRDefault="0093539D" w:rsidP="0093539D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gramStart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2.El</w:t>
            </w:r>
            <w:proofErr w:type="gramEnd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sistema cambia a otra vista.</w:t>
            </w:r>
          </w:p>
          <w:p w:rsidR="001A7AF1" w:rsidRPr="004850DB" w:rsidRDefault="0093539D" w:rsidP="0093539D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3.El sistema muestra los detalles del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</w:t>
            </w:r>
            <w:bookmarkStart w:id="0" w:name="_GoBack"/>
            <w:bookmarkEnd w:id="0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, tales como: nombre, marca, serial, problema que presenta, etc...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Flujos alternos y excepciones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1A7AF1">
            <w:pPr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</w:tbl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CU-T003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Nombre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Diagnosticar Articulo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3539D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Esta opción le permitirá al actor ingresar, en un campo de texto, el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diagnóstico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del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, especificando de manera detallada los problemas encontrados y que paso se deberá seguir para su reparación.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Actores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4850D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técnico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Precondiciones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3539D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Estar en la interfaz de “revisar </w:t>
            </w:r>
            <w:proofErr w:type="spellStart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articulo</w:t>
            </w:r>
            <w:proofErr w:type="spellEnd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”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Poscondiciones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1A7AF1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lastRenderedPageBreak/>
              <w:t>Flujo normal de eventos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93539D" w:rsidRPr="004850DB" w:rsidRDefault="0093539D" w:rsidP="0093539D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1.El actor selecciona la opción de diagnosticar articulo</w:t>
            </w:r>
          </w:p>
          <w:p w:rsidR="0093539D" w:rsidRPr="004850DB" w:rsidRDefault="0093539D" w:rsidP="0093539D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gramStart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2.El</w:t>
            </w:r>
            <w:proofErr w:type="gramEnd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sistema abre un campo de texto.</w:t>
            </w:r>
          </w:p>
          <w:p w:rsidR="0093539D" w:rsidRPr="004850DB" w:rsidRDefault="0093539D" w:rsidP="0093539D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gramStart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3.el</w:t>
            </w:r>
            <w:proofErr w:type="gramEnd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actor ingresa el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diagnóstico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del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93539D" w:rsidRPr="004850DB" w:rsidRDefault="0093539D" w:rsidP="0093539D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4 el actor selecciona la opción de guardar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diagnóstico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93539D" w:rsidRPr="004850DB" w:rsidRDefault="0093539D" w:rsidP="0093539D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5 el sistema almacena la información y cambia el estado del articulo a “diagnosticado”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Flujos alternos y excepciones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1A7AF1">
            <w:pPr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</w:tbl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Tablaconcuadrcula"/>
        <w:tblW w:w="8656" w:type="dxa"/>
        <w:tblInd w:w="137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CU-T004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Nombre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Reporte final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Descripción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Esta opción le permitirá al actor ingresar en detalle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todos los cambios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y reparaciones realizadas sobre el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, adicional se deberá incluir las partes que se tuvieron que sustituir, especificando los costos de cada una.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Actores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4850DB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técnico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Precondiciones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9F0E3F" w:rsidP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El cliente tuvo que haber confirmado la reparación del </w:t>
            </w:r>
            <w:proofErr w:type="spellStart"/>
            <w:proofErr w:type="gramStart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articulo</w:t>
            </w:r>
            <w:proofErr w:type="spellEnd"/>
            <w:proofErr w:type="gramEnd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</w:tc>
      </w:tr>
      <w:tr w:rsidR="001A7AF1" w:rsidRPr="004850DB">
        <w:tc>
          <w:tcPr>
            <w:tcW w:w="2148" w:type="dxa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Poscondiciones</w:t>
            </w:r>
          </w:p>
        </w:tc>
        <w:tc>
          <w:tcPr>
            <w:tcW w:w="6507" w:type="dxa"/>
            <w:shd w:val="clear" w:color="auto" w:fill="auto"/>
            <w:tcMar>
              <w:left w:w="108" w:type="dxa"/>
            </w:tcMar>
          </w:tcPr>
          <w:p w:rsidR="001A7AF1" w:rsidRPr="004850DB" w:rsidRDefault="001A7AF1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Flujo normal de eventos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9F0E3F" w:rsidRPr="004850DB" w:rsidRDefault="009F0E3F" w:rsidP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1.El actor selecciona la opción de ingresar reporte final</w:t>
            </w:r>
          </w:p>
          <w:p w:rsidR="009F0E3F" w:rsidRPr="004850DB" w:rsidRDefault="009F0E3F" w:rsidP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gramStart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2.El</w:t>
            </w:r>
            <w:proofErr w:type="gramEnd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sistema abre un campo de texto.</w:t>
            </w:r>
          </w:p>
          <w:p w:rsidR="009F0E3F" w:rsidRPr="004850DB" w:rsidRDefault="009F0E3F" w:rsidP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proofErr w:type="gramStart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3.el</w:t>
            </w:r>
            <w:proofErr w:type="gramEnd"/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actor ingresa la descripción de las reparaciones realizadas, incluyendo las p</w:t>
            </w:r>
            <w:r w:rsid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artes que debieron ser cambiadas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</w:p>
          <w:p w:rsidR="009F0E3F" w:rsidRPr="004850DB" w:rsidRDefault="009F0E3F" w:rsidP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4 el actor selecciona la opción de guardar reporte.</w:t>
            </w:r>
          </w:p>
          <w:p w:rsidR="001A7AF1" w:rsidRPr="004850DB" w:rsidRDefault="009F0E3F" w:rsidP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5 el sistema almacena la información y cambia el estado del articulo a “reparado”</w:t>
            </w:r>
          </w:p>
          <w:p w:rsidR="009F0E3F" w:rsidRPr="004850DB" w:rsidRDefault="009F0E3F" w:rsidP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6 el sistema hace el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cálculo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de costos de reparación (suma todos los costos de las partes incluyendo la mano de obra, la cual se calcula dependiendo del tiempo utilizado en la tarea y la complejidad de la misma)</w:t>
            </w:r>
          </w:p>
          <w:p w:rsidR="009F0E3F" w:rsidRPr="004850DB" w:rsidRDefault="009F0E3F" w:rsidP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7 el sistema envía un correo al cliente informando que su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artículo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ya </w:t>
            </w:r>
            <w:r w:rsidR="004850DB"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>está</w:t>
            </w:r>
            <w:r w:rsidRPr="004850DB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reparado y que puede acercarse al centro técnico a reclamar su producto.</w:t>
            </w:r>
          </w:p>
          <w:p w:rsidR="009F0E3F" w:rsidRPr="004850DB" w:rsidRDefault="009F0E3F" w:rsidP="009F0E3F">
            <w:pPr>
              <w:widowControl w:val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9F0E3F">
            <w:pPr>
              <w:jc w:val="both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850DB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Flujos alternos y excepciones</w:t>
            </w:r>
          </w:p>
        </w:tc>
      </w:tr>
      <w:tr w:rsidR="001A7AF1" w:rsidRPr="004850DB">
        <w:tc>
          <w:tcPr>
            <w:tcW w:w="8655" w:type="dxa"/>
            <w:gridSpan w:val="2"/>
            <w:shd w:val="clear" w:color="auto" w:fill="auto"/>
            <w:tcMar>
              <w:left w:w="108" w:type="dxa"/>
            </w:tcMar>
          </w:tcPr>
          <w:p w:rsidR="001A7AF1" w:rsidRPr="004850DB" w:rsidRDefault="001A7AF1">
            <w:pPr>
              <w:jc w:val="both"/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</w:pPr>
          </w:p>
        </w:tc>
      </w:tr>
    </w:tbl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p w:rsidR="001A7AF1" w:rsidRPr="004850DB" w:rsidRDefault="001A7AF1">
      <w:pPr>
        <w:rPr>
          <w:rFonts w:asciiTheme="minorHAnsi" w:hAnsiTheme="minorHAnsi" w:cstheme="minorHAnsi"/>
          <w:sz w:val="24"/>
          <w:szCs w:val="24"/>
        </w:rPr>
      </w:pPr>
    </w:p>
    <w:sectPr w:rsidR="001A7AF1" w:rsidRPr="004850DB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F1"/>
    <w:rsid w:val="001A7AF1"/>
    <w:rsid w:val="001B6328"/>
    <w:rsid w:val="004850DB"/>
    <w:rsid w:val="0093539D"/>
    <w:rsid w:val="009F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9B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Times New Roman" w:cs="Times New Roman"/>
      <w:sz w:val="22"/>
    </w:rPr>
  </w:style>
  <w:style w:type="character" w:customStyle="1" w:styleId="ListLabel4">
    <w:name w:val="ListLabel 4"/>
    <w:qFormat/>
    <w:rPr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3A249B"/>
    <w:pPr>
      <w:ind w:left="720"/>
      <w:contextualSpacing/>
    </w:pPr>
    <w:rPr>
      <w:rFonts w:eastAsia="Times New Roman" w:cs="Times New Roman"/>
      <w:szCs w:val="20"/>
      <w:lang w:val="es-ES" w:eastAsia="es-ES"/>
    </w:rPr>
  </w:style>
  <w:style w:type="table" w:styleId="Tablaconcuadrcula">
    <w:name w:val="Table Grid"/>
    <w:basedOn w:val="Tablanormal"/>
    <w:rsid w:val="003A249B"/>
    <w:rPr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9B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Times New Roman" w:cs="Times New Roman"/>
      <w:sz w:val="22"/>
    </w:rPr>
  </w:style>
  <w:style w:type="character" w:customStyle="1" w:styleId="ListLabel4">
    <w:name w:val="ListLabel 4"/>
    <w:qFormat/>
    <w:rPr>
      <w:b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3A249B"/>
    <w:pPr>
      <w:ind w:left="720"/>
      <w:contextualSpacing/>
    </w:pPr>
    <w:rPr>
      <w:rFonts w:eastAsia="Times New Roman" w:cs="Times New Roman"/>
      <w:szCs w:val="20"/>
      <w:lang w:val="es-ES" w:eastAsia="es-ES"/>
    </w:rPr>
  </w:style>
  <w:style w:type="table" w:styleId="Tablaconcuadrcula">
    <w:name w:val="Table Grid"/>
    <w:basedOn w:val="Tablanormal"/>
    <w:rsid w:val="003A249B"/>
    <w:rPr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Victoria Hurtado Gil</dc:creator>
  <dc:description/>
  <cp:lastModifiedBy>Andrés</cp:lastModifiedBy>
  <cp:revision>3</cp:revision>
  <dcterms:created xsi:type="dcterms:W3CDTF">2017-11-14T05:36:00Z</dcterms:created>
  <dcterms:modified xsi:type="dcterms:W3CDTF">2017-12-12T13:39:00Z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