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F1" w:rsidRDefault="001A7AF1"/>
    <w:p w:rsidR="001A7AF1" w:rsidRDefault="001A7AF1"/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Identificador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CU-T001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Nombre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Consultar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Articulos</w:t>
            </w:r>
            <w:proofErr w:type="spellEnd"/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Descripción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Permite consultar los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en espera de ser revisados, reparados o recogidos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Actores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Tecnico</w:t>
            </w:r>
            <w:proofErr w:type="spellEnd"/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Precondiciones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El actor debe estar previamente autenticado en el sistema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Poscondiciones</w:t>
            </w:r>
            <w:proofErr w:type="spellEnd"/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Se cambia el estado del articulo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Flujo normal de eventos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1.El actor  ejecuta el evento Consultar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Articulos</w:t>
            </w:r>
            <w:proofErr w:type="spellEnd"/>
          </w:p>
          <w:p w:rsidR="001A7AF1" w:rsidRDefault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2.El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sistema cambia a otra vista.</w:t>
            </w:r>
          </w:p>
          <w:p w:rsidR="001A7AF1" w:rsidRDefault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3.El sistema muestra los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filtrados a partir del rol que ejecute el evento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 xml:space="preserve">Flujos alternos y </w:t>
            </w: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excepciones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1A7AF1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</w:p>
        </w:tc>
      </w:tr>
    </w:tbl>
    <w:p w:rsidR="001A7AF1" w:rsidRDefault="001A7AF1"/>
    <w:p w:rsidR="001A7AF1" w:rsidRDefault="001A7AF1"/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Identificador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CU-T002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Nombre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Revisar Articulo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Descripción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3539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Este campo permitirá visualizar los detalles de cada articulo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Actores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3539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tecnico</w:t>
            </w:r>
            <w:proofErr w:type="spellEnd"/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Precondiciones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3539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Estar en la interfaz de “consultar artículos”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Poscondiciones</w:t>
            </w:r>
            <w:proofErr w:type="spellEnd"/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3539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Cambia el estado del articulo a “en revisión”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Flujo normal de eventos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93539D" w:rsidRDefault="0093539D" w:rsidP="0093539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1.El actor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selecciona la opción de revisar articulo</w:t>
            </w:r>
          </w:p>
          <w:p w:rsidR="0093539D" w:rsidRDefault="0093539D" w:rsidP="0093539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2.El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sistema cambia a otra vista.</w:t>
            </w:r>
          </w:p>
          <w:p w:rsidR="001A7AF1" w:rsidRDefault="0093539D" w:rsidP="0093539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3.El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sistema muestra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los detalles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, tales como: nombre, marca, serial, problema que presenta, etc...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Flujos alternos y excepciones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1A7AF1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</w:p>
        </w:tc>
      </w:tr>
    </w:tbl>
    <w:p w:rsidR="001A7AF1" w:rsidRDefault="001A7AF1"/>
    <w:p w:rsidR="001A7AF1" w:rsidRDefault="001A7AF1"/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Identificador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CU-T003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Nombre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Diagnosticar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Descripción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3539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Esta opción le permitirá al actor ingresar, en un campo de texto, 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diagnostico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, especificando de manera detallada los problemas encontrados y que paso se deberá seguir para su reparación.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Actores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3539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tecnico</w:t>
            </w:r>
            <w:proofErr w:type="spellEnd"/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Precondiciones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3539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Estar en la interfaz de “revisar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”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Poscondiciones</w:t>
            </w:r>
            <w:proofErr w:type="spellEnd"/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1A7AF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Flujo normal de eventos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93539D" w:rsidRDefault="0093539D" w:rsidP="0093539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1.El actor selecciona la opción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diagnosticar articulo</w:t>
            </w:r>
          </w:p>
          <w:p w:rsidR="0093539D" w:rsidRDefault="0093539D" w:rsidP="0093539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.El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sistema abre un campo de texto.</w:t>
            </w:r>
          </w:p>
          <w:p w:rsidR="0093539D" w:rsidRDefault="0093539D" w:rsidP="0093539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actor ingresa 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diagnostico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.</w:t>
            </w:r>
          </w:p>
          <w:p w:rsidR="0093539D" w:rsidRDefault="0093539D" w:rsidP="0093539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4 el actor selecciona la opción de guardar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diagnostico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.</w:t>
            </w:r>
          </w:p>
          <w:p w:rsidR="0093539D" w:rsidRDefault="0093539D" w:rsidP="0093539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5 el sistema almacena la información y cambia el estado del articulo a “diagnosticado”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Flujos alternos y excepciones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1A7AF1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</w:p>
        </w:tc>
      </w:tr>
    </w:tbl>
    <w:p w:rsidR="001A7AF1" w:rsidRDefault="001A7AF1"/>
    <w:p w:rsidR="001A7AF1" w:rsidRDefault="001A7AF1"/>
    <w:p w:rsidR="001A7AF1" w:rsidRDefault="001A7AF1"/>
    <w:p w:rsidR="001A7AF1" w:rsidRDefault="001A7AF1"/>
    <w:p w:rsidR="001A7AF1" w:rsidRDefault="001A7AF1"/>
    <w:p w:rsidR="001A7AF1" w:rsidRDefault="001A7AF1"/>
    <w:p w:rsidR="001A7AF1" w:rsidRDefault="001A7AF1"/>
    <w:p w:rsidR="001A7AF1" w:rsidRDefault="001A7AF1"/>
    <w:p w:rsidR="001A7AF1" w:rsidRDefault="001A7AF1"/>
    <w:p w:rsidR="001A7AF1" w:rsidRDefault="001A7AF1"/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Identificador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CU-T004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Nombre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Reporte final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Descripción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Esta opción le permitirá al actor ingresar en detalle todo los cambios y reparaciones realizadas sobre el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, adicional se deberá incluir las partes que se tuvieron que sustituir, especificando los costos de cada una.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Actores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tecnico</w:t>
            </w:r>
            <w:proofErr w:type="spellEnd"/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Precondiciones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9F0E3F" w:rsidP="009F0E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El cliente tuvo que haber confirmado la reparación del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.</w:t>
            </w:r>
          </w:p>
        </w:tc>
      </w:tr>
      <w:tr w:rsidR="001A7AF1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Poscondiciones</w:t>
            </w:r>
            <w:proofErr w:type="spellEnd"/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Default="001A7AF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Flujo normal de</w:t>
            </w: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 xml:space="preserve"> eventos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9F0E3F" w:rsidRDefault="009F0E3F" w:rsidP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1.El actor selecciona la opción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ingresar reporte final</w:t>
            </w:r>
          </w:p>
          <w:p w:rsidR="009F0E3F" w:rsidRDefault="009F0E3F" w:rsidP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2.El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sistema abre un campo de texto.</w:t>
            </w:r>
          </w:p>
          <w:p w:rsidR="009F0E3F" w:rsidRDefault="009F0E3F" w:rsidP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actor ingresa la descripción de las reparaciones realizadas, incluyendo las partes que debieron ser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cambaidas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.</w:t>
            </w:r>
          </w:p>
          <w:p w:rsidR="009F0E3F" w:rsidRDefault="009F0E3F" w:rsidP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4 el actor selecciona la opción de guardar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reporte.</w:t>
            </w:r>
          </w:p>
          <w:p w:rsidR="001A7AF1" w:rsidRDefault="009F0E3F" w:rsidP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5 el sistema almacena la información y cambia el estado del articulo a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reparado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”</w:t>
            </w:r>
          </w:p>
          <w:p w:rsidR="009F0E3F" w:rsidRDefault="009F0E3F" w:rsidP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6 el sistema hace 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calculo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de costos de reparación (suma todos los costos de las partes incluyendo la mano de obra, la cual se calcula dependiendo del tiempo utilizado en la tarea y la complejidad de la misma)</w:t>
            </w:r>
          </w:p>
          <w:p w:rsidR="009F0E3F" w:rsidRDefault="009F0E3F" w:rsidP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7 el sistema envía un correo al cliente informando que su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articulo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ya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reparado y que puede acercarse al centro técnico a reclamar su producto.</w:t>
            </w:r>
          </w:p>
          <w:p w:rsidR="009F0E3F" w:rsidRDefault="009F0E3F" w:rsidP="009F0E3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bookmarkStart w:id="0" w:name="_GoBack"/>
            <w:bookmarkEnd w:id="0"/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9F0E3F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es-ES"/>
              </w:rPr>
              <w:t>Flujos alternos y excepciones</w:t>
            </w:r>
          </w:p>
        </w:tc>
      </w:tr>
      <w:tr w:rsidR="001A7AF1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Default="001A7AF1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</w:p>
        </w:tc>
      </w:tr>
    </w:tbl>
    <w:p w:rsidR="001A7AF1" w:rsidRDefault="001A7AF1"/>
    <w:p w:rsidR="001A7AF1" w:rsidRDefault="001A7AF1"/>
    <w:sectPr w:rsidR="001A7AF1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F1"/>
    <w:rsid w:val="001A7AF1"/>
    <w:rsid w:val="001B6328"/>
    <w:rsid w:val="0093539D"/>
    <w:rsid w:val="009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5AD3CF5-D3B4-4C85-8576-7C7F1A3B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49B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Times New Roman" w:cs="Times New Roman"/>
      <w:sz w:val="22"/>
    </w:rPr>
  </w:style>
  <w:style w:type="character" w:customStyle="1" w:styleId="ListLabel4">
    <w:name w:val="ListLabel 4"/>
    <w:qFormat/>
    <w:rPr>
      <w:b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3A249B"/>
    <w:pPr>
      <w:ind w:left="720"/>
      <w:contextualSpacing/>
    </w:pPr>
    <w:rPr>
      <w:rFonts w:eastAsia="Times New Roman" w:cs="Times New Roman"/>
      <w:szCs w:val="20"/>
      <w:lang w:val="es-ES" w:eastAsia="es-ES"/>
    </w:rPr>
  </w:style>
  <w:style w:type="table" w:styleId="Tablaconcuadrcula">
    <w:name w:val="Table Grid"/>
    <w:basedOn w:val="Tablanormal"/>
    <w:rsid w:val="003A249B"/>
    <w:rPr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Victoria Hurtado Gil</dc:creator>
  <dc:description/>
  <cp:lastModifiedBy>santiago granada aguirre</cp:lastModifiedBy>
  <cp:revision>2</cp:revision>
  <dcterms:created xsi:type="dcterms:W3CDTF">2017-11-14T05:36:00Z</dcterms:created>
  <dcterms:modified xsi:type="dcterms:W3CDTF">2017-11-14T05:36:00Z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