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Пояснение к цене. Лот 953631</w:t>
      </w:r>
    </w:p>
    <w:p>
      <w:r>
        <w:t>Текущий ремонт помещений СЗБФ ФГУП «Росморпорт», Санкт-Петербург, ул. Гапсальская, д. 8, лит. А. Сделка Битрикс 1902. Срок подачи по сделке — 30.10.2026 10:00.</w:t>
      </w:r>
    </w:p>
    <w:p>
      <w:r>
        <w:t>В заявку не отправлять. Это первичный расчёт по ведомости. Нет НМЦК и проекта сметы, цена окон не подтверждена КП поставщика, объём подготовки пола заказчик сам просит уточнить после демонтажа.</w:t>
      </w:r>
    </w:p>
    <w:p>
      <w:r>
        <w:rPr>
          <w:b/>
        </w:rPr>
        <w:t>Итог</w:t>
      </w:r>
    </w:p>
    <w:p>
      <w:r>
        <w:t>Себестоимость без НДС — 224 301,45 руб. КП без НДС — 260 813,39 руб. НДС 22 % — 57 378,95 руб. КП с НДС — 318 192,34 руб. Наценка на себестоимость — 16,3 %. Маржа — 14,0 %. К НМЦК сравнить нельзя: начальной цены в документах нет. Диапазон типа «Госзакупки 44-ФЗ / 223-ФЗ» — 15–30 %. Ниже 15 % расчёт не ушёл, согласование генерального директора по этому порогу не требуется. Переторжка −10 % оставляет маржу около 4 %.</w:t>
      </w:r>
    </w:p>
    <w:p>
      <w:r>
        <w:t>Материалы в себестоимости — 119 972 руб. (53 %). Оплата бригадам — 51 694 руб. (23 %). Расходники — 1 143 руб. (0,5 %). Косвенные — 51 492 руб. (23 %). В КП: работы с распределёнными косвенными — 137 545 руб., материалы — 123 268 руб.</w:t>
      </w:r>
    </w:p>
    <w:p>
      <w:r>
        <w:t>Тип тендера — госзакупка: заказчик ФГУП, закупка по своему положению (в бланке договора отсылка к п. 64.13), площадка ТЭК-Торг, малый объём, неконкурентная процедура. Регион цены — Санкт-Петербург, колонки H и L тарификатора. Форма для заказчика одна цена на строку, поэтому наценка материалов взята как у формы «под ключ», но не выше розницы. У большинства позиций витрина совпала с ценой закупки, и доставка 3 % со стоимостью денег 2 % в цену материала не вошли: цена КП срезана до розницы без НДС.</w:t>
      </w:r>
    </w:p>
    <w:p>
      <w:r>
        <w:rPr>
          <w:b/>
        </w:rPr>
        <w:t>Откуда объём</w:t>
      </w:r>
    </w:p>
    <w:p>
      <w:r>
        <w:t>Ведомость есть: приложение № 1 к заданию (скан) и таблица «3. Расчет цены». Объёмы взяты из таблицы, не из пересчёта скана. Рабочая документации с чертежами нет. Пункт 4 задания требует смету по приказу Минстроя № 841/пр от проекта сметы. Этого проекта в папке нет, книгу проекта по старому промту не собирали.</w:t>
      </w:r>
    </w:p>
    <w:p>
      <w:r>
        <w:rPr>
          <w:b/>
        </w:rPr>
        <w:t>Как собраны строки заказчика</w:t>
      </w:r>
    </w:p>
    <w:p>
      <w:r>
        <w:t>Строка 1.4 и 2.4 в ведомости — под ключ. В бюджете она разложена: облицовка ГКЛ на клее 8.2.17, грунт 5.5.20 два слоя (объём м2 × 2), шпаклёвка 8.2.38 (шлифовка входит в норму ЕНиР), обеспыливание 5.2.2, окраска ГКЛ 8.2.35. В форму заказчика вернулась одна цена.</w:t>
      </w:r>
    </w:p>
    <w:p>
      <w:r>
        <w:t>Подоконник пом. 120: 0,40 м2 при ширине 0,40 м = 1,0 мп, артикул 12.2.21. Пом. 412: 0,76 м2 / 0,40 м = 1,90 мп. Строка 2.5 — демонтаж и установка той же доски, новой доски в цене нет. Строка 1.6 — новая доска, материал в ведомости не назван, принят ПВХ 400×2000, покупается штукой 2 м.</w:t>
      </w:r>
    </w:p>
    <w:p>
      <w:r>
        <w:t>Окна: демонтаж 1.12.12, монтаж малого блока с фрамугой — аналог 12.2.18 (двухстворчатый до 2 м2), блок 630×1070 — аналог 12.2.19. Профиль в тарификаторе ПВХ, в задании стеклопластик по ГОСТ 23166-2021. Ответные планки в тарификаторе нет: 0,15 чел.-ч × 800 руб. бригаде и × 1 620 руб. в цену заказчика, оценка, строка в листе «Добавить в тарификатор».</w:t>
      </w:r>
    </w:p>
    <w:p>
      <w:r>
        <w:t>Пол: демонтаж линолеума 1.6.8 и плинтуса 1.6.3 — точно. Очистка основания — аналог 7.1.N2 (шлифовка с обеспыливанием). В тексте ведомости шлифовка не названа, объём подготовки подлежит уточнению. Грунт пола — 7.1.3. Шов — аналог 7.1.10, потому что единица в ведомости м2, а не мп. Линолеум на клее — 7.2.21, сварка швов в этой расценке уже есть. Плинтус — 7.3.9.</w:t>
      </w:r>
    </w:p>
    <w:p>
      <w:r>
        <w:rPr>
          <w:b/>
        </w:rPr>
        <w:t>Допущения</w:t>
      </w:r>
    </w:p>
    <w:p>
      <w:r>
        <w:t>Линолеум — Tarkett Force Canasta 4, класс 33, КМ2. В закупку взята минимальная открытая цена 727 руб/м2 с НДС (spb-carpet). Розница Петровича 928,99 руб/м2, до неё цена в КП и дошла из-за ограничения «не выше розницы».</w:t>
      </w:r>
    </w:p>
    <w:p>
      <w:r>
        <w:t>Окна — 12 750 руб/м2 с НДС, изделие без монтажа, прайс steklokompozit.ru (26 775 руб. на 2,10 м2). Дата прайса на странице не указана. Стеклопакет в примере стандартный и может не дать R0 блока 0,54. Второй открытый источник, Окна Титан, даёт от 18 500 руб/м2 уже с монтажом и откосами, в закупку не брался.</w:t>
      </w:r>
    </w:p>
    <w:p>
      <w:r>
        <w:t>Шпаклёвка Ветонит LR — текущее имя weber.vetonit LR+. Норма комплекта 1,2 кг/м2 принята на 1 мм и умножена на 3 мм. В работу около 7 кг, в закупку один мешок 20 кг.</w:t>
      </w:r>
    </w:p>
    <w:p>
      <w:r>
        <w:t>Грунт пола — концентрат Plitonit Profi 1:2, канистра 3 л при потребности около 2,8 л. Цена канистры — оценка 220 руб/л: карточка Петровича цену в текст не отдала.</w:t>
      </w:r>
    </w:p>
    <w:p>
      <w:r>
        <w:t>Мастика шва — оценка 200 руб/кг и 2 кг/м2. Сечения шва нет.</w:t>
      </w:r>
    </w:p>
    <w:p>
      <w:r>
        <w:t>Плинтус 50 мм, клей Перлфикс, запор и ответные планки, пена и ленты монтажного шва — оценка, марки в задании нет. Углы и заглушки плинтуса в ведомости нет, в цену не входят.</w:t>
      </w:r>
    </w:p>
    <w:p>
      <w:r>
        <w:t>Вывоз: Газель 3 м3 2 390 руб. плюс погрузка с 4 этажа 2 140 руб. (vyvoz-musora.su). Второй источник 4 550 руб. Отдельной строки в форме нет, сумма разнесена по строкам. Мусор по заданию вывозится за пределы Большого порта.</w:t>
      </w:r>
    </w:p>
    <w:p>
      <w:r>
        <w:t>Аванс в бланке не выбран. На материалы заложен 1 месяц стоимости денег, 2 %. Роста цен нет: до закупки меньше двух месяцев. Доставка Санкт-Петербурга 3 %.</w:t>
      </w:r>
    </w:p>
    <w:p>
      <w:r>
        <w:t>Косвенные: прораб 2 дня (150 000 на руки × 1,5 / 22), ПТО и исполнительная 2 дня (120 000 × 1,5 / 22), резерв гарантии 2 % на 24 месяца, резерв рисков 5 %. Командировок, бытовки и техники нет: объект в городе, объём ручной. Пропуска в смету не ставились.</w:t>
      </w:r>
    </w:p>
    <w:p>
      <w:r>
        <w:t>Режим 9:00–17:00, понедельник–пятница. Ночной коэффициент не применяется.</w:t>
      </w:r>
    </w:p>
    <w:p>
      <w:r>
        <w:rPr>
          <w:b/>
        </w:rPr>
        <w:t>Пять рисков</w:t>
      </w:r>
    </w:p>
    <w:p>
      <w:r>
        <w:t>Окна без КП и без R0 ≥ 0,54. Влияние порядка 15 000 руб., если цена изделия или энергосберегающий стеклопакет окажутся выше витрины.</w:t>
      </w:r>
    </w:p>
    <w:p>
      <w:r>
        <w:t>Подготовка пола. В цене строка очистки около 24 800 руб. без НДС. Если после вскрытия нужна только мойка, сумма лишняя. Если нужна стяжка, суммы не хватит. Ведомость прямо говорит, что объём уточняется.</w:t>
      </w:r>
    </w:p>
    <w:p>
      <w:r>
        <w:t>Шов 13 м2 без сечения. Вся строка с мастикой около 11 500 руб. без НДС может измениться, когда появятся погонные метры.</w:t>
      </w:r>
    </w:p>
    <w:p>
      <w:r>
        <w:t>Нет НМЦК и проекта сметы по приказу 841/пр. Сравнить предложение с потолком заказчика нельзя. Срок подачи — 30.10.2026 10:00.</w:t>
      </w:r>
    </w:p>
    <w:p>
      <w:r>
        <w:t>Пропуска, срок работ и порядок оплаты не названы. Пропуска в цену не вошли, риск порядка 10 000 руб. оценкой. Штраф за просрочку в бланке — 0,1 % в день.</w:t>
      </w:r>
    </w:p>
    <w:p>
      <w:r>
        <w:rPr>
          <w:b/>
        </w:rPr>
        <w:t>Вопросы заказчику</w:t>
      </w:r>
    </w:p>
    <w:p>
      <w:r>
        <w:t>Прислать проект сметы договора и НМЦК.</w:t>
      </w:r>
    </w:p>
    <w:p>
      <w:r>
        <w:t>Подтвердить R0 ≥ 0,54 по блоку в сборе и согласовать производителя стеклопластика.</w:t>
      </w:r>
    </w:p>
    <w:p>
      <w:r>
        <w:t>Назвать материал новой подоконной доски в помещении 120 и толщину стены.</w:t>
      </w:r>
    </w:p>
    <w:p>
      <w:r>
        <w:t>Дать сечение деформационных швов или перевести 13 м2 в погонные метры.</w:t>
      </w:r>
    </w:p>
    <w:p>
      <w:r>
        <w:t>Назвать срок работ, аванс или оплату по акту, стоимость и срок пропусков.</w:t>
      </w:r>
    </w:p>
    <w:p>
      <w:r>
        <w:t>Подтвердить, что углы плинтуса и эквиваленты материалов согласуются в ППР.</w:t>
      </w:r>
    </w:p>
    <w:p>
      <w:r>
        <w:rPr>
          <w:b/>
        </w:rPr>
        <w:t>Что сделать НЕОСТРОЙ</w:t>
      </w:r>
    </w:p>
    <w:p>
      <w:r>
        <w:t>Запросить КП на два оконных блока с R0 и RAL 9010 и на линолеум 33 класса КМ2 отрезом 83,7 м2. Это оборудование и позиция дороже 5 % материалов.</w:t>
      </w:r>
    </w:p>
    <w:p>
      <w:r>
        <w:t>В форму заявки подставить цену 318 192,34 руб. с НДС, гарантию 24 месяца, страну происхождения по сертификатам. Срок работ и аванс — после ответа заказчика.</w:t>
      </w:r>
    </w:p>
    <w:p>
      <w:r>
        <w:t>Договоры, акты и отзывы в скачанных бланках не требуются отдельной таблицей. Если площадка запросит опыт, номера взять из файла «Выполненные работы 2020-2025 НЕО.xlsx» и пометить отсутствующие сканы как «подставить».</w:t>
      </w:r>
    </w:p>
    <w:p>
      <w:r>
        <w:t>В заявку этот расчёт не отправлять, пока нет КП на окна и нет решения по подготовке пола.</w:t>
      </w:r>
    </w:p>
    <w:p>
      <w:r>
        <w:rPr>
          <w:b/>
        </w:rPr>
        <w:t>Где файлы</w:t>
      </w:r>
    </w:p>
    <w:p>
      <w:r>
        <w:t>На диске Битрикса — папка «первичный расчет ИИ» внутри папки 953631. В репозитории — outbox/Лот 953631/. Бюджет заказчику не передавать. В форму заявки идёт только расчёт цены и письмо.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