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Пояснение к цене. Лот 233755</w:t>
      </w:r>
    </w:p>
    <w:p>
      <w:r>
        <w:t>Внутренний документ НЕОСТРОЙ. Заказчику не передавать: в нём себестоимость, наценка и риски. Сделка Битрикс 1892, стадия «Анализ и расчет» не менялась.</w:t>
      </w:r>
    </w:p>
    <w:p>
      <w:pPr>
        <w:pStyle w:val="Heading1"/>
      </w:pPr>
      <w:r>
        <w:t>Решение</w:t>
      </w:r>
    </w:p>
    <w:p>
      <w:r>
        <w:t>В заявку не отправлять. Себестоимость 24 479 907,62 руб. без НДС. Цена для заказчика 29 539 288,52 руб. без НДС, 36 037 932,00 руб. с НДС 22%. Наценка на себестоимость 20,7%, маржа 17,1%. НМЦК в документах нет, сравнить не с чем.</w:t>
      </w:r>
    </w:p>
    <w:p>
      <w:r>
        <w:t>Тип тендера — «Крупные сети и девелоперы, конкурентный тендер»: ПАО «МТС», открытый запрос предложений, не госзакупка и не разовое ТО. Диапазон наценки этого типа 30–40%. Считанная наценка 20,7% ниже диапазона и выше порога 15%, отдельное согласование генерального директора по порогу 15% не требуется. Поднимать цену материалов, чтобы попасть в 30–40%, нельзя. Пока не закрыты объёмы, выезд и КП поставщиков, предложение не подавать.</w:t>
      </w:r>
    </w:p>
    <w:p>
      <w:pPr>
        <w:pStyle w:val="Heading1"/>
      </w:pPr>
      <w:r>
        <w:t>Из чего цена</w:t>
      </w:r>
    </w:p>
    <w:p>
      <w:r>
        <w:t>Материалы, себестоимость 12 904 201 руб. (52,7% с/с), в КП 13 448 422 руб. Наценка материалов по факту 4,2%: часть позиций упёрлась в розницу (пескобетон и другие), оборудование и плитка идут по низкой наценке категории. Оплата бригадам 6 471 531 руб. (26,4%). Расходники 163 399 руб. (0,7%). Косвенные 4 940 776 руб. (20,2%): прораб 2 430 000, ПТО 472 500, вывоз мусора 258 197 (оценка), ППР и исполнительная 180 000, допуски и пропуска 120 000, банковская гарантия на аванс 405 427, резерв гарантии 36 мес. 293 087, резерв рисков 781 565. Косвенных строк в форме нет, они разложены в расценки работ.</w:t>
      </w:r>
    </w:p>
    <w:p>
      <w:r>
        <w:t>КП работ с косвенными 16 090 866 руб. Регион цен — Москва (колонки тарификатора I и M). Доставка 3%. До закупки принято 3 месяца, резерв роста 1,25% (1,25% в месяц после двух месяцев). Аванс 50% покрывает материалы (себестоимость материалов 12,9 млн меньше половины цены без НДС 14,8 млн), стоимость денег 0. Форма раздельная: материалы в столбце E, работа в столбце G, оба без НДС.</w:t>
      </w:r>
    </w:p>
    <w:p>
      <w:pPr>
        <w:pStyle w:val="Heading1"/>
      </w:pPr>
      <w:r>
        <w:t>Паспорт</w:t>
      </w:r>
    </w:p>
    <w:p>
      <w:r>
        <w:t>Заказчик ПАО «МТС». Объект — БЦ «Декарт», Москва, проспект Андропова, д. 18, к. 9. Предмет — СМР, ремонт санузлов. Этажи 1, 2, 3, 4, 7, 8 — по два санузла; 5 этаж — два и универсальная кабина; 6 этаж — одна универсальная кабина. Площадь одного санузла в ТЗ около 11 м². Входят отделка, вентиляция по ведомости, ВиК, ЭОМ. СОУЭ и АПС не входят. Срок 270 календарных дней, этапы 8+6, 7+5, 4+2, 3+1. Оплата: аванс 50% за 10 рабочих дней при безотзывной банковской гарантии, остаток 50% после приёмки и исполнительной. Гарантия не меньше 36 месяцев. Цена твёрдая, оплата по фактическим объёмам. СРО на строительство. Опыт по ТЗ: один договор общестроя в административном здании за 3 года не меньше 40 млн руб.</w:t>
      </w:r>
    </w:p>
    <w:p>
      <w:pPr>
        <w:pStyle w:val="Heading1"/>
      </w:pPr>
      <w:r>
        <w:t>Как считали</w:t>
      </w:r>
    </w:p>
    <w:p>
      <w:r>
        <w:t>Объёмы взяты из формы ценового предложения (приложение 1 к ТЗ), 650 строк с количеством. Одинаковое наименование на этажах — одна цена. Работы сопоставлены с тарификатором v2: «точно», «аналог» или «нет в тарификаторе». Нет артикула — норма в человеко-часах умножена на ставку часа Москвы из тарификатора (заказчику — колонка нормо-часа, бригаде — ставка бригады). Такие строки перечислены на листе «Добавить в тарификатор» бюджета.</w:t>
      </w:r>
    </w:p>
    <w:p>
      <w:r>
        <w:t>Стяжка 200 мм = основание 20 мм (7.1.18) плюс 36 добавок по 5 мм (7.1.5). Разборка стяжки 200 мм = 4 × разборка до 50 мм. Перегородка С112 посчитана по 8.1.23, комплект материалов собран от перегородки 8.1.22 на два слоя с двух сторон: 4 м² ГКЛВ, профиль, саморезы, лента, шпаклёвка, без ваты. Плитка пола и стен — артикулы 7.2.25 и 8.2.22, в комплект входят плитка, клей, затирка, грунт, СВП. Клей стены 60×120 принят 6 кг/м². Марки, которые ТЗ назвало, не заменялись. Где марка не задана — записан типовой материал и слово «оценка».</w:t>
      </w:r>
    </w:p>
    <w:p>
      <w:r>
        <w:t>Цены закупки на 29.10.2026. С НДС делили на 1,22. Грильято у поставщика указан без НДС, так и принят. Два источника есть не по всем позициям. Оборудование и строки дороже 5% материалов помечены «запросить КП поставщика»: светильник Polo (около 13% закупки), плитка Evolution Smoke (около 10%), ГКЛВ (около 9%), унитаз AM.PM (около 6%).</w:t>
      </w:r>
    </w:p>
    <w:p>
      <w:pPr>
        <w:pStyle w:val="Heading1"/>
      </w:pPr>
      <w:r>
        <w:t>Допущения</w:t>
      </w:r>
    </w:p>
    <w:p>
      <w:r>
        <w:t>Перегородки посчитаны объёмом ведомости, без поправки на вероятный повтор цифры 209,658 м². Кабель до светильников (540 м) посчитан открытой прокладкой в гофре, кабель до приёмников (180 м) — в штробе. Столешница Hi-Macs принята 1200×500 мм, 17 шт., цена изделия оценка 35 000 руб. с НДС. Зеркало — артикул Evoform BY 0466 без подсветки, 6 159 руб., 56 шт. Светильник Polo взят в чёрном корпусе (в строке одновременно Day White и 3000К). Писсуар ARROW AN660 без подтверждённого смывного устройства. Обратные клапаны заложены и в смесителях (по 2 шт.), и отдельной строкой на гигиенический душ. Вывоз мусора — оценка 90 т. Ночной коэффициент не заложен. Единицы «шт» и «2м» у отдельных строк покраски не переименовывали: в цену строки пошло число из ячейки количества как площадь.</w:t>
      </w:r>
    </w:p>
    <w:p>
      <w:r>
        <w:t>Сверка копеек: сумма всех заполненных строк формы после пересчёта в LibreOffice равна бюджету, 29 539 288,52 руб. На единственной строке 361 (одна дверь кабины, в других этажах такой формулировки нет) к расценке работы добавлено 0,29 руб., чтобы округление формы сошлось с бюджетом.</w:t>
      </w:r>
    </w:p>
    <w:p>
      <w:pPr>
        <w:pStyle w:val="Heading1"/>
      </w:pPr>
      <w:r>
        <w:t>Риски</w:t>
      </w:r>
    </w:p>
    <w:p>
      <w:r>
        <w:t>1. Перегородки. 1 679,66 м² против площади санузлов около 160 м². Кабина 5 этажа 209,658 м², кабина 6 этажа 2,4 м². Лишние 207 м² — около 823 тыс. руб. без НДС в цене. Около 136 тыс. руб. из них — косвенные внутри расценки: если оплатят факт и метров не будет, эти деньги не вернутся.</w:t>
      </w:r>
    </w:p>
    <w:p>
      <w:r>
        <w:t>2. Нет выезда, ведомость предварительная. Скрытое сверх ведомости не добавляли. Резерв 781 565 руб. уже в расценках. Этого мало, если после осмотра объём вырастет сильнее.</w:t>
      </w:r>
    </w:p>
    <w:p>
      <w:r>
        <w:t>3. Ночь. Оплата бригаде за демонтаж и штробы 834 452 руб. Доплата 100% к этой части в цену не входит. Если заказчик оставит шумные работы только на ночь, себестоимость вырастет на эту сумму, а цена — нет.</w:t>
      </w:r>
    </w:p>
    <w:p>
      <w:r>
        <w:t>4. Формула формы. Итог считается со строки 7. Строка 6, разборка стяжки 1-го этажа на 48 612,07 руб., в ячейку «Итого» не входит: форма показывает 29 490 676,45 вместо 29 539 288,52. Пять процентов непредвиденных (1 474 533,82 руб. от урезанного итога) в итог тоже не входят. Формулы не меняли. Перед подачей файл нужно открыть в Excel и решить с заказчиком, включать ли строку 6 и 5%.</w:t>
      </w:r>
    </w:p>
    <w:p>
      <w:r>
        <w:t>5. Неподтверждённые цены. Закупка с пометкой «оценка» или одним источником — около 4,63 млн руб. без НДС. Десять процентов ошибки — около 463 тыс. руб. себестоимости. Отдельно: если 540 м кабеля надо штробить, к цене строки около 354 тыс. руб.; если столешница вдвое длиннее — около 570 тыс. руб. материалов. Подсветка зеркала не оценена.</w:t>
      </w:r>
    </w:p>
    <w:p>
      <w:pPr>
        <w:pStyle w:val="Heading1"/>
      </w:pPr>
      <w:r>
        <w:t>Вопросы заказчику</w:t>
      </w:r>
    </w:p>
    <w:p>
      <w:r>
        <w:t>Площадь перегородок по помещениям, особенно кабина 5 этажа. Дата осмотра. Ночь или день для шумных работ. Включать ли строку 6 в итог формы и нужны ли 5% сверху. Размеры столешниц. Подсветка зеркала или артикул BY 0466. Цвет и температура светильника Polo. Открытая или скрытая прокладка 540 м. Смывное устройство писсуара входит в AN660 или нет. Нужна ли сетка в стяжке 200 мм: в ведомости её нет, в расчёт она заложена как необходимая.</w:t>
      </w:r>
    </w:p>
    <w:p>
      <w:pPr>
        <w:pStyle w:val="Heading1"/>
      </w:pPr>
      <w:r>
        <w:t>Что сделать НЕОСТРОЙ</w:t>
      </w:r>
    </w:p>
    <w:p>
      <w:r>
        <w:t>Не отправлять заявку с этими цифрами. Запросить КП поставщиков на плитку, свет, унитазы, писсуары, двери, камень, трапы HL 510N-3000, люки 1000×1000, раковину Dorris. Съездить на объект. После ответов пересчитать. Анкету и опыт в форму заявки не заполняли. В файле выполненных работ нет договора с прямой формулировкой «общестроительные работы в административном здании от 40 млн». Ближе по смыслу ремонт нежилого помещения ОГКУ «ЦЗН Костромской области» на 72,2 млн (2023) и капремонты зданий школ и поликлиники от 40 млн. Номер договора, дата, акты и отзыв — подставить. СРО и уровень ответственности сверить с ценой договора перед подачей.</w:t>
      </w:r>
    </w:p>
    <w:p>
      <w:pPr>
        <w:pStyle w:val="Heading1"/>
      </w:pPr>
      <w:r>
        <w:t>Где файлы</w:t>
      </w:r>
    </w:p>
    <w:p>
      <w:r>
        <w:t>Папка расчёта: outbox/Лот 233755/. Бюджет себестоимости заказчику не отдавать. Форма КП — копия формы заказчика, цены в столбцах E и G, структура и формулы на месте. Письмо-КП и карта реализации собраны вместе с бюджетом. Строка реестра — в Строка реестра.json. Общий реестр xlsx этот расчёт не менял.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