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after="200"/>
      </w:pPr>
      <w:r>
        <w:rPr>
          <w:rFonts w:ascii="Times New Roman" w:hAnsi="Times New Roman"/>
          <w:b w:val="0"/>
          <w:sz w:val="20"/>
        </w:rPr>
        <w:t>Исх. № ____ от 28.10.2026</w:t>
      </w:r>
    </w:p>
    <w:p>
      <w:pPr>
        <w:spacing w:after="0"/>
        <w:jc w:val="right"/>
      </w:pPr>
      <w:r>
        <w:rPr>
          <w:rFonts w:ascii="Times New Roman" w:hAnsi="Times New Roman"/>
          <w:b/>
          <w:sz w:val="22"/>
        </w:rPr>
        <w:t>Филиал АО «РИР Энерго» — «Воронежская генерация»</w:t>
      </w:r>
    </w:p>
    <w:p>
      <w:pPr>
        <w:spacing w:after="280"/>
        <w:jc w:val="right"/>
      </w:pPr>
      <w:r>
        <w:rPr>
          <w:rFonts w:ascii="Times New Roman" w:hAnsi="Times New Roman"/>
          <w:b w:val="0"/>
          <w:sz w:val="22"/>
        </w:rPr>
        <w:t>Организатору закупки № 637, лот 1, спецификация 1</w:t>
      </w:r>
    </w:p>
    <w:p>
      <w:pPr>
        <w:spacing w:after="160"/>
        <w:jc w:val="center"/>
      </w:pPr>
      <w:r>
        <w:rPr>
          <w:rFonts w:ascii="Times New Roman" w:hAnsi="Times New Roman"/>
          <w:b/>
          <w:sz w:val="26"/>
        </w:rPr>
        <w:t>КОММЕРЧЕСКОЕ ПРЕДЛОЖЕНИЕ</w:t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ООО «НЕОСТРОЙ» предлагает оказать услуги по техническому обслуживанию установок автоматической пожарной сигнализации, автоматических установок пожаротушения и систем оповещения и управления эвакуацией при пожаре в производственных подразделениях филиала АО «РИР Энерго» — «Воронежская генерация» (ПП ТЭЦ-1, ПП ТЭЦ-2, ПП Тепловые сети, ПП Городские тепловые сети, г. Воронеж) в 2027 году в соответствии с Техническим заданием и Приложениями № 1–10 к нему.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Стоимость услуг</w:t>
      </w:r>
    </w:p>
    <w:tbl>
      <w:tblPr>
        <w:tblStyle w:val="ab"/>
        <w:tblW w:type="auto" w:w="0"/>
        <w:tblLook w:firstColumn="1" w:firstRow="1" w:lastColumn="0" w:lastRow="0" w:noHBand="0" w:noVBand="1" w:val="04A0"/>
      </w:tblPr>
      <w:tblGrid>
        <w:gridCol w:w="4674"/>
        <w:gridCol w:w="4674"/>
      </w:tblGrid>
      <w:tr>
        <w:tc>
          <w:tcPr>
            <w:tcW w:type="dxa" w:w="4674"/>
          </w:tcPr>
          <w:p>
            <w:r>
              <w:t>Регламентное ТО АПС, АУПТ, СОУЭ (12 месяцев), руб. без НДС</w:t>
            </w:r>
          </w:p>
        </w:tc>
        <w:tc>
          <w:tcPr>
            <w:tcW w:type="dxa" w:w="4674"/>
          </w:tcPr>
          <w:p>
            <w:r>
              <w:t>17 898 182,16 (1 491 515,18 в месяц)</w:t>
            </w:r>
          </w:p>
        </w:tc>
      </w:tr>
      <w:tr>
        <w:tc>
          <w:tcPr>
            <w:tcW w:type="dxa" w:w="4674"/>
          </w:tcPr>
          <w:p>
            <w:r>
              <w:t>Разовые работы 2027 г. (испытания и пуск АУПТ ТЭЦ-2, поверка манометров, измерения ЭТЛ), руб. без НДС</w:t>
            </w:r>
          </w:p>
        </w:tc>
        <w:tc>
          <w:tcPr>
            <w:tcW w:type="dxa" w:w="4674"/>
          </w:tcPr>
          <w:p>
            <w:r>
              <w:t>1 206 585,00</w:t>
            </w:r>
          </w:p>
        </w:tc>
      </w:tr>
      <w:tr>
        <w:tc>
          <w:tcPr>
            <w:tcW w:type="dxa" w:w="4674"/>
          </w:tcPr>
          <w:p>
            <w:r>
              <w:t>Материалы для замены (ЗИП), лимит, руб. без НДС</w:t>
            </w:r>
          </w:p>
        </w:tc>
        <w:tc>
          <w:tcPr>
            <w:tcW w:type="dxa" w:w="4674"/>
          </w:tcPr>
          <w:p>
            <w:r>
              <w:t>167 347,83</w:t>
            </w:r>
          </w:p>
        </w:tc>
      </w:tr>
      <w:tr>
        <w:tc>
          <w:tcPr>
            <w:tcW w:type="dxa" w:w="4674"/>
          </w:tcPr>
          <w:p>
            <w:r>
              <w:t>Итого без НДС, руб.</w:t>
            </w:r>
          </w:p>
        </w:tc>
        <w:tc>
          <w:tcPr>
            <w:tcW w:type="dxa" w:w="4674"/>
          </w:tcPr>
          <w:p>
            <w:r>
              <w:t>19 272 114,99</w:t>
            </w:r>
          </w:p>
        </w:tc>
      </w:tr>
      <w:tr>
        <w:tc>
          <w:tcPr>
            <w:tcW w:type="dxa" w:w="4674"/>
          </w:tcPr>
          <w:p>
            <w:r>
              <w:t>НДС 22 %, руб.</w:t>
            </w:r>
          </w:p>
        </w:tc>
        <w:tc>
          <w:tcPr>
            <w:tcW w:type="dxa" w:w="4674"/>
          </w:tcPr>
          <w:p>
            <w:r>
              <w:t>4 239 865,30</w:t>
            </w:r>
          </w:p>
        </w:tc>
      </w:tr>
      <w:tr>
        <w:tc>
          <w:tcPr>
            <w:tcW w:type="dxa" w:w="4674"/>
          </w:tcPr>
          <w:p>
            <w:r>
              <w:t>Итого с НДС, руб.</w:t>
            </w:r>
          </w:p>
        </w:tc>
        <w:tc>
          <w:tcPr>
            <w:tcW w:type="dxa" w:w="4674"/>
          </w:tcPr>
          <w:p>
            <w:r>
              <w:t>23 511 980,29</w:t>
            </w:r>
          </w:p>
        </w:tc>
      </w:tr>
    </w:tbl>
    <w:p>
      <w:pPr>
        <w:spacing w:after="40"/>
      </w:pPr>
      <w:r>
        <w:rPr>
          <w:rFonts w:ascii="Times New Roman" w:hAnsi="Times New Roman"/>
          <w:b w:val="0"/>
          <w:sz w:val="22"/>
        </w:rPr>
      </w:r>
    </w:p>
    <w:p>
      <w:pPr>
        <w:spacing w:after="80"/>
        <w:jc w:val="both"/>
      </w:pPr>
      <w:r>
        <w:rPr>
          <w:rFonts w:ascii="Times New Roman" w:hAnsi="Times New Roman"/>
          <w:b w:val="0"/>
          <w:sz w:val="22"/>
        </w:rPr>
        <w:t>Расшифровка стоимости по объектам и видам оборудования, а также помесячный график стоимости приведены в приложении «КП_НЕОСТРОЙ» (xlsx).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Условия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• Срок оказания услуг: 01.01.2027–31.12.2027.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• Оплата ежемесячно, в течение 7 рабочих дней после подписания акта оказанных услуг; аванс не требуется.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• Цены за единицу оборудования фиксированы на весь срок договора.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• ООО «НЕОСТРОЙ» имеет лицензию МЧС России на монтаж, техническое обслуживание и ремонт средств обеспечения пожарной безопасности.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В стоимость включено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• Регламентное ТО по Приложениям 9 и 10 ТЗ на всех 10 адресах, первичное обследование систем, ведение журналов и паспортов, ежемесячные отчёты.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• Опрессовка, промывка и опробование АУПТ ТЭЦ-2 с реальным пуском (июль–август 2027), поверка манометров (май), измерения сопротивления заземления (июнь).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• Работы по замене вышедшего из строя оборудования, СИЗ, инструмент и приборы, обучение и допуски персонала, транспорт.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В стоимость не включено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• Материалы и оборудование сверх лимита ЗИП и ремонт, не относящийся к ТО (по отдельным согласованным сметам).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• Огнезадерживающие клапаны и оборудование, не указанное в Приложениях 1–8 ТЗ.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• Вода, слив и восстановление технологических систем после пуска АУПТ — силами Заказчика.</w:t>
      </w:r>
    </w:p>
    <w:p>
      <w:pPr>
        <w:spacing w:after="40"/>
      </w:pPr>
      <w:r>
        <w:rPr>
          <w:rFonts w:ascii="Times New Roman" w:hAnsi="Times New Roman"/>
          <w:b/>
          <w:sz w:val="22"/>
        </w:rPr>
        <w:t>Допущения расчёта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• Количество оборудования — по Приложениям 1–8 ТЗ; при изменении состава стоимость пересчитывается по цене за единицу.</w:t>
      </w:r>
    </w:p>
    <w:p>
      <w:pPr>
        <w:spacing w:after="40"/>
        <w:jc w:val="both"/>
      </w:pPr>
      <w:r>
        <w:rPr>
          <w:rFonts w:ascii="Times New Roman" w:hAnsi="Times New Roman"/>
          <w:b w:val="0"/>
          <w:sz w:val="22"/>
        </w:rPr>
        <w:t>• Кабель в Прил. 8 (ул. Туполева, ул. Б. Хмельницкого), указанный в «шт», принят в метрах.</w:t>
      </w:r>
    </w:p>
    <w:p>
      <w:pPr>
        <w:spacing w:after="200"/>
      </w:pPr>
      <w:r>
        <w:rPr>
          <w:rFonts w:ascii="Times New Roman" w:hAnsi="Times New Roman"/>
          <w:b w:val="0"/>
          <w:sz w:val="22"/>
        </w:rPr>
      </w:r>
    </w:p>
    <w:p>
      <w:pPr>
        <w:spacing w:after="320"/>
      </w:pPr>
      <w:r>
        <w:rPr>
          <w:rFonts w:ascii="Times New Roman" w:hAnsi="Times New Roman"/>
          <w:b w:val="0"/>
          <w:sz w:val="22"/>
        </w:rPr>
        <w:t>Генеральный директор ООО «НЕОСТРОЙ»  ________________  Р. В. Улогов</w:t>
      </w:r>
    </w:p>
    <w:p>
      <w:pPr>
        <w:spacing w:after="0"/>
      </w:pPr>
      <w:r>
        <w:rPr>
          <w:rFonts w:ascii="Times New Roman" w:hAnsi="Times New Roman"/>
          <w:b w:val="0"/>
          <w:sz w:val="18"/>
        </w:rPr>
        <w:t>Исполнитель: Каменев Алексей, +7 921 370-86-27, contact@neostroi.com</w:t>
      </w:r>
    </w:p>
    <w:sectPr w:rsidR="001A2745" w:rsidSect="009D0BB1">
      <w:headerReference w:type="default" r:id="rId7"/>
      <w:footerReference w:type="default" r:id="rId8"/>
      <w:pgSz w:w="11900" w:h="16840"/>
      <w:pgMar w:top="1134" w:right="850" w:bottom="1134" w:left="1701" w:header="0" w:footer="567" w:gutter="0"/>
      <w:cols w:space="708"/>
      <w:docGrid w:linePitch="139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62F6F2" w14:textId="77777777" w:rsidR="00162932" w:rsidRDefault="00162932" w:rsidP="00756D34">
      <w:r>
        <w:separator/>
      </w:r>
    </w:p>
  </w:endnote>
  <w:endnote w:type="continuationSeparator" w:id="0">
    <w:p w14:paraId="6B899954" w14:textId="77777777" w:rsidR="00162932" w:rsidRDefault="00162932" w:rsidP="00756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lonCP">
    <w:altName w:val="Calibri"/>
    <w:panose1 w:val="00000000000000000000"/>
    <w:charset w:val="00"/>
    <w:family w:val="auto"/>
    <w:notTrueType/>
    <w:pitch w:val="variable"/>
    <w:sig w:usb0="80000007" w:usb1="00000000" w:usb2="00000000" w:usb3="00000000" w:csb0="00000001" w:csb1="00000000"/>
  </w:font>
  <w:font w:name="SF Pro Display">
    <w:altName w:val="Segoe UI Symbol"/>
    <w:panose1 w:val="00000000000000000000"/>
    <w:charset w:val="00"/>
    <w:family w:val="auto"/>
    <w:notTrueType/>
    <w:pitch w:val="variable"/>
    <w:sig w:usb0="E10002FF" w:usb1="5241ECFF" w:usb2="04008020" w:usb3="00000000" w:csb0="0000019F" w:csb1="00000000"/>
  </w:font>
  <w:font w:name="SF Pro Display Medium">
    <w:altName w:val="Segoe UI Symbol"/>
    <w:panose1 w:val="00000000000000000000"/>
    <w:charset w:val="00"/>
    <w:family w:val="auto"/>
    <w:notTrueType/>
    <w:pitch w:val="variable"/>
    <w:sig w:usb0="E10002FF" w:usb1="5241ECFF" w:usb2="04008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16188F9" w14:textId="5CD2560E" w:rsidR="00756D34" w:rsidRDefault="00162C71" w:rsidP="009D0BB1">
    <w:pPr>
      <w:pStyle w:val="a7"/>
      <w:ind w:left="-1701"/>
    </w:pPr>
    <w:r>
      <w:rPr>
        <w:noProof/>
        <w:lang w:eastAsia="ru-RU"/>
      </w:rPr>
      <w:drawing>
        <wp:inline distT="0" distB="0" distL="0" distR="0" wp14:anchorId="2F548F84" wp14:editId="1406BFB6">
          <wp:extent cx="7581900" cy="276225"/>
          <wp:effectExtent l="0" t="0" r="0" b="9525"/>
          <wp:docPr id="7" name="Рисунок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17733F" w14:textId="77777777" w:rsidR="00162932" w:rsidRDefault="00162932" w:rsidP="00756D34">
      <w:r>
        <w:separator/>
      </w:r>
    </w:p>
  </w:footnote>
  <w:footnote w:type="continuationSeparator" w:id="0">
    <w:p w14:paraId="7A26E56D" w14:textId="77777777" w:rsidR="00162932" w:rsidRDefault="00162932" w:rsidP="00756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5C4518" w14:textId="29B32AE6" w:rsidR="00756D34" w:rsidRDefault="00162C71" w:rsidP="009D0BB1">
    <w:pPr>
      <w:pStyle w:val="a5"/>
      <w:ind w:left="-1701"/>
    </w:pPr>
    <w:r>
      <w:rPr>
        <w:noProof/>
        <w:lang w:eastAsia="ru-RU"/>
      </w:rPr>
      <w:drawing>
        <wp:inline distT="0" distB="0" distL="0" distR="0" wp14:anchorId="1CE30D29" wp14:editId="7D3BE0BB">
          <wp:extent cx="7629525" cy="1247775"/>
          <wp:effectExtent l="0" t="0" r="9525" b="9525"/>
          <wp:docPr id="6" name="Рисунок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9525" cy="1247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745"/>
    <w:rsid w:val="00012E24"/>
    <w:rsid w:val="00025678"/>
    <w:rsid w:val="00072A00"/>
    <w:rsid w:val="000920A5"/>
    <w:rsid w:val="000F0821"/>
    <w:rsid w:val="000F2451"/>
    <w:rsid w:val="0010105B"/>
    <w:rsid w:val="00114C6C"/>
    <w:rsid w:val="00134531"/>
    <w:rsid w:val="00162932"/>
    <w:rsid w:val="00162C71"/>
    <w:rsid w:val="00164BAB"/>
    <w:rsid w:val="00174730"/>
    <w:rsid w:val="0019202F"/>
    <w:rsid w:val="001A2745"/>
    <w:rsid w:val="001C5828"/>
    <w:rsid w:val="0024227F"/>
    <w:rsid w:val="002C7F1C"/>
    <w:rsid w:val="00302B9B"/>
    <w:rsid w:val="003079B7"/>
    <w:rsid w:val="003D1AD5"/>
    <w:rsid w:val="00416A19"/>
    <w:rsid w:val="00441DDC"/>
    <w:rsid w:val="00492EB5"/>
    <w:rsid w:val="00496DE8"/>
    <w:rsid w:val="004A1DEC"/>
    <w:rsid w:val="004C780E"/>
    <w:rsid w:val="005139B8"/>
    <w:rsid w:val="005C5B50"/>
    <w:rsid w:val="00610037"/>
    <w:rsid w:val="006F5BCA"/>
    <w:rsid w:val="0072545A"/>
    <w:rsid w:val="00756D34"/>
    <w:rsid w:val="00770B6A"/>
    <w:rsid w:val="00780E03"/>
    <w:rsid w:val="007A33DD"/>
    <w:rsid w:val="007B6678"/>
    <w:rsid w:val="007E04C4"/>
    <w:rsid w:val="00842EB1"/>
    <w:rsid w:val="008661DB"/>
    <w:rsid w:val="00866C6F"/>
    <w:rsid w:val="00885B68"/>
    <w:rsid w:val="008A06EA"/>
    <w:rsid w:val="008B1289"/>
    <w:rsid w:val="00912AB6"/>
    <w:rsid w:val="00923F15"/>
    <w:rsid w:val="0095037F"/>
    <w:rsid w:val="00966280"/>
    <w:rsid w:val="009A4D1F"/>
    <w:rsid w:val="009C58C4"/>
    <w:rsid w:val="009D0BB1"/>
    <w:rsid w:val="00A56530"/>
    <w:rsid w:val="00AC14CD"/>
    <w:rsid w:val="00B832F1"/>
    <w:rsid w:val="00BB1C61"/>
    <w:rsid w:val="00BC5E16"/>
    <w:rsid w:val="00C01747"/>
    <w:rsid w:val="00CD50D0"/>
    <w:rsid w:val="00CE6335"/>
    <w:rsid w:val="00D13044"/>
    <w:rsid w:val="00D74CD4"/>
    <w:rsid w:val="00DF297D"/>
    <w:rsid w:val="00EA3C44"/>
    <w:rsid w:val="00EB2D03"/>
    <w:rsid w:val="00F6778D"/>
    <w:rsid w:val="00F832C9"/>
    <w:rsid w:val="00FB0B10"/>
    <w:rsid w:val="00FB7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0A48BD87"/>
  <w15:chartTrackingRefBased/>
  <w15:docId w15:val="{82FE6927-E552-4D56-B542-437BC7DE7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2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ЗАГОЛОВОК наш стиль"/>
    <w:qFormat/>
    <w:rsid w:val="001A2745"/>
    <w:pPr>
      <w:spacing w:after="200" w:line="288" w:lineRule="auto"/>
    </w:pPr>
    <w:rPr>
      <w:rFonts w:ascii="Book Antiqua" w:eastAsia="Book Antiqua" w:hAnsi="Book Antiqua"/>
      <w:color w:val="595959"/>
      <w:sz w:val="22"/>
      <w:szCs w:val="2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16A19"/>
    <w:pPr>
      <w:keepNext/>
      <w:keepLines/>
      <w:spacing w:before="40"/>
      <w:outlineLvl w:val="1"/>
    </w:pPr>
    <w:rPr>
      <w:rFonts w:ascii="Calibri Light" w:eastAsia="Times New Roman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3"/>
    <w:next w:val="2"/>
    <w:qFormat/>
    <w:rsid w:val="00416A19"/>
    <w:pPr>
      <w:spacing w:line="480" w:lineRule="auto"/>
    </w:pPr>
    <w:rPr>
      <w:rFonts w:ascii="Calibri" w:hAnsi="Calibri"/>
      <w:b w:val="0"/>
      <w:sz w:val="28"/>
      <w:lang w:val="en-US"/>
    </w:rPr>
  </w:style>
  <w:style w:type="character" w:customStyle="1" w:styleId="20">
    <w:name w:val="Заголовок 2 Знак"/>
    <w:link w:val="2"/>
    <w:uiPriority w:val="9"/>
    <w:semiHidden/>
    <w:rsid w:val="00416A19"/>
    <w:rPr>
      <w:rFonts w:ascii="Calibri Light" w:eastAsia="Times New Roman" w:hAnsi="Calibri Light" w:cs="Times New Roman"/>
      <w:b/>
      <w:color w:val="2E74B5"/>
      <w:sz w:val="26"/>
      <w:szCs w:val="26"/>
    </w:rPr>
  </w:style>
  <w:style w:type="paragraph" w:styleId="a3">
    <w:name w:val="No Spacing"/>
    <w:uiPriority w:val="1"/>
    <w:qFormat/>
    <w:rsid w:val="00416A19"/>
    <w:rPr>
      <w:rFonts w:ascii="CaslonCP" w:eastAsia="Times New Roman" w:hAnsi="CaslonCP"/>
      <w:b/>
      <w:sz w:val="52"/>
      <w:szCs w:val="24"/>
      <w:lang w:eastAsia="en-US"/>
    </w:rPr>
  </w:style>
  <w:style w:type="paragraph" w:customStyle="1" w:styleId="a4">
    <w:name w:val="текст"/>
    <w:basedOn w:val="a"/>
    <w:autoRedefine/>
    <w:qFormat/>
    <w:rsid w:val="008B1289"/>
    <w:pPr>
      <w:ind w:left="-851"/>
    </w:pPr>
    <w:rPr>
      <w:rFonts w:ascii="Calibri" w:hAnsi="Calibri"/>
      <w:b/>
      <w:sz w:val="34"/>
    </w:rPr>
  </w:style>
  <w:style w:type="paragraph" w:customStyle="1" w:styleId="BSS">
    <w:name w:val="текст BSS"/>
    <w:basedOn w:val="a4"/>
    <w:next w:val="a4"/>
    <w:qFormat/>
    <w:rsid w:val="00164BAB"/>
    <w:rPr>
      <w:rFonts w:ascii="SF Pro Display" w:hAnsi="SF Pro Display"/>
      <w:b w:val="0"/>
      <w:sz w:val="28"/>
    </w:rPr>
  </w:style>
  <w:style w:type="paragraph" w:customStyle="1" w:styleId="BSS2">
    <w:name w:val="текст BSS 2"/>
    <w:basedOn w:val="a"/>
    <w:autoRedefine/>
    <w:qFormat/>
    <w:rsid w:val="00164BAB"/>
    <w:pPr>
      <w:ind w:left="-851"/>
    </w:pPr>
    <w:rPr>
      <w:rFonts w:ascii="SF Pro Display" w:hAnsi="SF Pro Display"/>
      <w:b/>
      <w:sz w:val="24"/>
    </w:rPr>
  </w:style>
  <w:style w:type="paragraph" w:customStyle="1" w:styleId="BSS0">
    <w:name w:val="BSS текст жирный"/>
    <w:basedOn w:val="BSS2"/>
    <w:next w:val="BSS"/>
    <w:autoRedefine/>
    <w:qFormat/>
    <w:rsid w:val="00164BAB"/>
    <w:pPr>
      <w:ind w:left="1418" w:right="985" w:hanging="425"/>
    </w:pPr>
    <w:rPr>
      <w:rFonts w:ascii="SF Pro Display Medium" w:hAnsi="SF Pro Display Medium"/>
    </w:rPr>
  </w:style>
  <w:style w:type="paragraph" w:styleId="a5">
    <w:name w:val="header"/>
    <w:basedOn w:val="a"/>
    <w:link w:val="a6"/>
    <w:uiPriority w:val="99"/>
    <w:unhideWhenUsed/>
    <w:rsid w:val="00756D3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756D34"/>
    <w:rPr>
      <w:rFonts w:ascii="CaslonCP" w:eastAsia="Times New Roman" w:hAnsi="CaslonCP"/>
      <w:b/>
      <w:sz w:val="102"/>
    </w:rPr>
  </w:style>
  <w:style w:type="paragraph" w:styleId="a7">
    <w:name w:val="footer"/>
    <w:basedOn w:val="a"/>
    <w:link w:val="a8"/>
    <w:uiPriority w:val="18"/>
    <w:unhideWhenUsed/>
    <w:rsid w:val="00756D3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18"/>
    <w:rsid w:val="00756D34"/>
    <w:rPr>
      <w:rFonts w:ascii="CaslonCP" w:eastAsia="Times New Roman" w:hAnsi="CaslonCP"/>
      <w:b/>
      <w:sz w:val="102"/>
    </w:rPr>
  </w:style>
  <w:style w:type="paragraph" w:styleId="a9">
    <w:name w:val="Date"/>
    <w:basedOn w:val="a"/>
    <w:next w:val="a"/>
    <w:link w:val="aa"/>
    <w:uiPriority w:val="2"/>
    <w:unhideWhenUsed/>
    <w:rsid w:val="001A2745"/>
    <w:pPr>
      <w:spacing w:before="1000" w:after="400"/>
    </w:pPr>
  </w:style>
  <w:style w:type="character" w:customStyle="1" w:styleId="aa">
    <w:name w:val="Дата Знак"/>
    <w:basedOn w:val="a0"/>
    <w:link w:val="a9"/>
    <w:uiPriority w:val="2"/>
    <w:rsid w:val="001A2745"/>
    <w:rPr>
      <w:rFonts w:ascii="Book Antiqua" w:eastAsia="Book Antiqua" w:hAnsi="Book Antiqua"/>
      <w:color w:val="595959"/>
      <w:sz w:val="22"/>
      <w:szCs w:val="22"/>
      <w:lang w:eastAsia="en-US"/>
    </w:rPr>
  </w:style>
  <w:style w:type="table" w:styleId="ab">
    <w:name w:val="Table Grid"/>
    <w:basedOn w:val="a1"/>
    <w:uiPriority w:val="59"/>
    <w:rsid w:val="001A2745"/>
    <w:rPr>
      <w:rFonts w:ascii="Book Antiqua" w:eastAsia="Book Antiqua" w:hAnsi="Book Antiqua"/>
      <w:color w:val="595959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5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3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GenDir1\YandexDisk\&#1044;&#1083;&#1103;%20&#1047;&#1072;&#1082;&#1072;&#1079;&#1095;&#1080;&#1082;&#1086;&#1074;\&#1060;&#1080;&#1088;&#1084;&#1077;&#1085;&#1085;&#1099;&#1081;%20&#1073;&#1083;&#1072;&#1085;&#1082;%20010823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6FA385-6EC3-41B5-9B4B-7404364C9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Фирменный бланк 010823</Template>
  <TotalTime>38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Users</dc:creator>
  <cp:keywords/>
  <dc:description/>
  <cp:lastModifiedBy>Администратор</cp:lastModifiedBy>
  <cp:revision>7</cp:revision>
  <dcterms:created xsi:type="dcterms:W3CDTF">2025-05-29T21:55:00Z</dcterms:created>
  <dcterms:modified xsi:type="dcterms:W3CDTF">2026-06-23T11:33:00Z</dcterms:modified>
</cp:coreProperties>
</file>