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0" w:line="240" w:lineRule="auto"/>
        <w:rPr>
          <w:lang w:eastAsia="zh-CN"/>
        </w:rPr>
      </w:pPr>
    </w:p>
    <w:p>
      <w:pPr>
        <w:spacing w:after="0" w:line="240" w:lineRule="auto"/>
        <w:jc w:val="right"/>
        <w:rPr>
          <w:rFonts w:ascii="Times New Roman" w:eastAsiaTheme="minorHAnsi" w:hAnsi="Times New Roman"/>
          <w:color w:val="000000"/>
          <w:sz w:val="20"/>
          <w:szCs w:val="20"/>
        </w:rPr>
      </w:pPr>
      <w:r>
        <w:rPr>
          <w:rFonts w:ascii="Times New Roman" w:hAnsi="Times New Roman"/>
        </w:rPr>
        <w:t>Приложение №2 к Извещению</w:t>
      </w:r>
    </w:p>
    <w:p>
      <w:pPr>
        <w:spacing w:after="0" w:line="240" w:lineRule="auto"/>
        <w:jc w:val="right"/>
        <w:rPr>
          <w:rFonts w:ascii="Times New Roman" w:eastAsiaTheme="minorHAnsi" w:hAnsi="Times New Roman"/>
          <w:color w:val="000000"/>
          <w:sz w:val="20"/>
          <w:szCs w:val="20"/>
        </w:rPr>
      </w:pPr>
    </w:p>
    <w:p>
      <w:pPr>
        <w:spacing w:after="0" w:line="240" w:lineRule="auto"/>
        <w:jc w:val="center"/>
        <w:rPr>
          <w:rFonts w:ascii="Times New Roman" w:eastAsiaTheme="minorHAnsi" w:hAnsi="Times New Roman"/>
          <w:b/>
          <w:color w:val="000000"/>
          <w:sz w:val="20"/>
          <w:szCs w:val="20"/>
        </w:rPr>
      </w:pPr>
      <w:r>
        <w:rPr>
          <w:rFonts w:ascii="Times New Roman" w:eastAsiaTheme="minorHAnsi" w:hAnsi="Times New Roman"/>
          <w:b/>
          <w:color w:val="000000"/>
          <w:sz w:val="20"/>
          <w:szCs w:val="20"/>
        </w:rPr>
        <w:t>Обоснование начальной (максимальной) цены контракта</w:t>
      </w:r>
    </w:p>
    <w:p>
      <w:pPr>
        <w:spacing w:after="0" w:line="240" w:lineRule="auto"/>
        <w:jc w:val="center"/>
        <w:rPr>
          <w:rFonts w:ascii="Times New Roman" w:eastAsiaTheme="minorHAnsi" w:hAnsi="Times New Roman"/>
          <w:b/>
          <w:sz w:val="20"/>
          <w:szCs w:val="20"/>
        </w:rPr>
      </w:pPr>
      <w:r>
        <w:rPr>
          <w:rFonts w:ascii="Times New Roman" w:eastAsiaTheme="minorHAnsi" w:hAnsi="Times New Roman"/>
          <w:b/>
          <w:sz w:val="20"/>
          <w:szCs w:val="20"/>
        </w:rPr>
        <w:t>на Капитальный ремонт помещений первого этажа корпуса № 4 под размещение склада для хранения резерва медицинского имущества в здании по адресу: Санкт-Петербург, ул. Будапештская, д.3, лит. А, Этап 2</w:t>
      </w:r>
    </w:p>
    <w:p>
      <w:pPr>
        <w:spacing w:after="0" w:line="240" w:lineRule="auto"/>
        <w:jc w:val="center"/>
        <w:rPr>
          <w:rFonts w:ascii="Times New Roman" w:eastAsiaTheme="minorHAnsi" w:hAnsi="Times New Roman"/>
          <w:color w:val="000000"/>
          <w:sz w:val="20"/>
          <w:szCs w:val="20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3"/>
        <w:gridCol w:w="7343"/>
      </w:tblGrid>
      <w:tr>
        <w:trPr>
          <w:trHeight w:val="70"/>
        </w:trPr>
        <w:tc>
          <w:tcPr>
            <w:tcW w:w="2863" w:type="dxa"/>
            <w:shd w:val="clear" w:color="auto" w:fill="auto"/>
          </w:tcPr>
          <w:p>
            <w:pPr>
              <w:spacing w:after="20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Основные характеристики объекта закупки</w:t>
            </w:r>
          </w:p>
        </w:tc>
        <w:tc>
          <w:tcPr>
            <w:tcW w:w="7343" w:type="dxa"/>
            <w:shd w:val="clear" w:color="auto" w:fill="auto"/>
          </w:tcPr>
          <w:p>
            <w:pPr>
              <w:tabs>
                <w:tab w:val="left" w:pos="851"/>
              </w:tabs>
              <w:suppressAutoHyphens/>
              <w:spacing w:after="0" w:line="230" w:lineRule="auto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Объект закупки: Капитальный ремонт помещений первого этажа корпуса № 4 под размещение склада для хранения резерва медицинского имущества в здании по адресу: Санкт-Петербург, ул. Будапештская, д.3, лит. А, Этап 2.</w:t>
            </w:r>
          </w:p>
          <w:p>
            <w:pPr>
              <w:tabs>
                <w:tab w:val="left" w:pos="851"/>
              </w:tabs>
              <w:suppressAutoHyphens/>
              <w:spacing w:after="0" w:line="230" w:lineRule="auto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Место выполнения работ: г. Санкт-Петербург, 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вн.тер.г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. муниципальный округ Купчино, 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ул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Будапештская, д. 3 литера А</w:t>
            </w:r>
          </w:p>
          <w:p>
            <w:pPr>
              <w:tabs>
                <w:tab w:val="left" w:pos="851"/>
              </w:tabs>
              <w:suppressAutoHyphens/>
              <w:spacing w:after="0" w:line="230" w:lineRule="auto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Срок и выполнения работ: в соответствии с проектом контракта</w:t>
            </w:r>
          </w:p>
        </w:tc>
      </w:tr>
      <w:tr>
        <w:trPr>
          <w:trHeight w:val="429"/>
        </w:trPr>
        <w:tc>
          <w:tcPr>
            <w:tcW w:w="2863" w:type="dxa"/>
            <w:shd w:val="clear" w:color="auto" w:fill="auto"/>
          </w:tcPr>
          <w:p>
            <w:pPr>
              <w:spacing w:after="20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Используемый метод определения НМЦК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br/>
              <w:t>с обоснованием:</w:t>
            </w:r>
          </w:p>
        </w:tc>
        <w:tc>
          <w:tcPr>
            <w:tcW w:w="7343" w:type="dxa"/>
            <w:shd w:val="clear" w:color="auto" w:fill="auto"/>
          </w:tcPr>
          <w:p>
            <w:pPr>
              <w:tabs>
                <w:tab w:val="left" w:pos="851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Начальная (максимальная) цена контракта определена и обоснована в соответствии с требованиями статьи 22 Закона  и в соответствии с приказом Министерства строительства и жилищно-коммунального хозяйства Российской Федерации от 23.12.2019 №841/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пр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«Об утверждении Порядка определения начальной (максимальной) цены контракта, цены контракта, заключаемого с единственным поставщиком (подрядчиком, исполнителем), начальной цены единицы товара, работы, услуги при осуществлении закупок в сфере градостроительной деятельности (за исключением территориального планирования) и Методики составления сметы контракта» (далее – Приказ № 841/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пр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</w:rPr>
              <w:t>, Порядок), посредством применения проектно-сметного метода.</w:t>
            </w:r>
          </w:p>
        </w:tc>
      </w:tr>
    </w:tbl>
    <w:p>
      <w:pPr>
        <w:spacing w:after="0" w:line="240" w:lineRule="auto"/>
        <w:jc w:val="center"/>
        <w:rPr>
          <w:rFonts w:ascii="Times New Roman" w:eastAsiaTheme="minorHAnsi" w:hAnsi="Times New Roman"/>
          <w:color w:val="000000"/>
          <w:sz w:val="20"/>
          <w:szCs w:val="20"/>
        </w:rPr>
      </w:pPr>
    </w:p>
    <w:p>
      <w:pPr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Приложение к обоснованию НМЦК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0"/>
          <w:szCs w:val="20"/>
          <w:lang w:eastAsia="ru-RU"/>
        </w:rPr>
        <w:t>Протокол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0"/>
          <w:szCs w:val="20"/>
          <w:lang w:eastAsia="ru-RU"/>
        </w:rPr>
        <w:t>начальной (максимальной) цены контракта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Объект закупки: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0"/>
          <w:szCs w:val="20"/>
          <w:lang w:eastAsia="ru-RU"/>
        </w:rPr>
        <w:t>Капитальный ремонт помещений первого этажа корпуса № 4 под размещение склада для хранения резерва медицинского имущества в здании по адресу: Санкт-Петербург, ул. Будапештская, д.3, лит. А, Этап 2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bookmarkStart w:id="0" w:name="l233"/>
      <w:bookmarkEnd w:id="0"/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Начальная (максимальная) цена контракта составляет: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0"/>
          <w:szCs w:val="20"/>
          <w:lang w:eastAsia="ru-RU"/>
        </w:rPr>
      </w:pPr>
      <w:bookmarkStart w:id="1" w:name="l71"/>
      <w:bookmarkEnd w:id="1"/>
      <w:r>
        <w:rPr>
          <w:rFonts w:ascii="Times New Roman" w:eastAsia="Times New Roman" w:hAnsi="Times New Roman"/>
          <w:b/>
          <w:bCs/>
          <w:color w:val="000000"/>
          <w:sz w:val="20"/>
          <w:szCs w:val="20"/>
          <w:lang w:eastAsia="ru-RU"/>
        </w:rPr>
        <w:t xml:space="preserve">14 675 945,55 руб. 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Начальная (максимальная) цена контракта включает в себя расходы на </w:t>
      </w:r>
      <w:r>
        <w:rPr>
          <w:rFonts w:ascii="Times New Roman" w:eastAsia="Times New Roman" w:hAnsi="Times New Roman"/>
          <w:b/>
          <w:bCs/>
          <w:color w:val="000000"/>
          <w:sz w:val="20"/>
          <w:szCs w:val="20"/>
          <w:lang w:eastAsia="ru-RU"/>
        </w:rPr>
        <w:t xml:space="preserve"> выполнение работ по капитальному ремонту, с учетом всех затрат, связанных с выполнением Подрядчиком всех обязательств по Контракту, в том числе оплата строительно-монтажных работ, расходы на все необходимые при выполнении работ товары, материалы, транспортные затраты, погрузо-разгрузочные расходы, затраты на вывоз строительного мусора, экономические риски, налоги и сборы и другие обязательные платежи, затраты на согласование, страхование, уплату таможенных пошлин и прочие расходы, выплаченные или подлежащие выплате в связи с исполнением Контракта. 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Приложение: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Расчет начальной (максимальной) цены контракта.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sz w:val="20"/>
          <w:szCs w:val="24"/>
        </w:rPr>
      </w:pPr>
      <w:r>
        <w:rPr>
          <w:rFonts w:ascii="Times New Roman" w:hAnsi="Times New Roman"/>
          <w:b/>
          <w:bCs/>
          <w:i/>
          <w:color w:val="000000"/>
          <w:sz w:val="20"/>
          <w:szCs w:val="24"/>
        </w:rPr>
        <w:t>Расчет</w:t>
      </w:r>
      <w:r>
        <w:rPr>
          <w:rFonts w:ascii="Times New Roman" w:hAnsi="Times New Roman"/>
          <w:b/>
          <w:bCs/>
          <w:color w:val="000000"/>
          <w:sz w:val="20"/>
          <w:szCs w:val="24"/>
        </w:rPr>
        <w:t xml:space="preserve"> </w:t>
      </w:r>
      <w:r>
        <w:rPr>
          <w:rFonts w:ascii="Times New Roman" w:hAnsi="Times New Roman"/>
          <w:b/>
          <w:i/>
          <w:sz w:val="20"/>
          <w:szCs w:val="24"/>
        </w:rPr>
        <w:t>начальной (максимальной) цены контракта подготовил:</w:t>
      </w:r>
    </w:p>
    <w:p>
      <w:pPr>
        <w:spacing w:after="0" w:line="240" w:lineRule="auto"/>
        <w:jc w:val="both"/>
        <w:rPr>
          <w:rFonts w:ascii="Times New Roman" w:hAnsi="Times New Roman"/>
          <w:bCs/>
          <w:i/>
          <w:color w:val="000000"/>
          <w:sz w:val="20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Cs/>
          <w:i/>
          <w:color w:val="000000"/>
          <w:sz w:val="20"/>
          <w:szCs w:val="24"/>
        </w:rPr>
      </w:pPr>
      <w:r>
        <w:rPr>
          <w:rFonts w:ascii="Times New Roman" w:hAnsi="Times New Roman"/>
          <w:bCs/>
          <w:i/>
          <w:color w:val="000000"/>
          <w:sz w:val="20"/>
          <w:szCs w:val="24"/>
        </w:rPr>
        <w:t xml:space="preserve">Главный инженер </w:t>
      </w:r>
      <w:r>
        <w:rPr>
          <w:rFonts w:ascii="Times New Roman" w:hAnsi="Times New Roman"/>
          <w:bCs/>
          <w:i/>
          <w:color w:val="000000"/>
          <w:sz w:val="20"/>
          <w:szCs w:val="24"/>
        </w:rPr>
        <w:tab/>
      </w:r>
      <w:r>
        <w:rPr>
          <w:rFonts w:ascii="Times New Roman" w:hAnsi="Times New Roman"/>
          <w:bCs/>
          <w:i/>
          <w:color w:val="000000"/>
          <w:sz w:val="20"/>
          <w:szCs w:val="24"/>
        </w:rPr>
        <w:tab/>
      </w:r>
      <w:r>
        <w:rPr>
          <w:rFonts w:ascii="Times New Roman" w:hAnsi="Times New Roman"/>
          <w:bCs/>
          <w:i/>
          <w:color w:val="000000"/>
          <w:sz w:val="20"/>
          <w:szCs w:val="24"/>
        </w:rPr>
        <w:tab/>
      </w:r>
      <w:r>
        <w:rPr>
          <w:rFonts w:ascii="Times New Roman" w:hAnsi="Times New Roman"/>
          <w:bCs/>
          <w:i/>
          <w:color w:val="000000"/>
          <w:sz w:val="20"/>
          <w:szCs w:val="24"/>
        </w:rPr>
        <w:tab/>
      </w:r>
      <w:r>
        <w:rPr>
          <w:rFonts w:ascii="Times New Roman" w:hAnsi="Times New Roman"/>
          <w:bCs/>
          <w:i/>
          <w:color w:val="000000"/>
          <w:sz w:val="20"/>
          <w:szCs w:val="24"/>
        </w:rPr>
        <w:tab/>
      </w:r>
      <w:r>
        <w:rPr>
          <w:rFonts w:ascii="Times New Roman" w:hAnsi="Times New Roman"/>
          <w:bCs/>
          <w:i/>
          <w:color w:val="000000"/>
          <w:sz w:val="20"/>
          <w:szCs w:val="24"/>
        </w:rPr>
        <w:tab/>
      </w:r>
      <w:r>
        <w:rPr>
          <w:rFonts w:ascii="Times New Roman" w:hAnsi="Times New Roman"/>
          <w:bCs/>
          <w:i/>
          <w:color w:val="000000"/>
          <w:sz w:val="20"/>
          <w:szCs w:val="24"/>
        </w:rPr>
        <w:tab/>
      </w:r>
      <w:proofErr w:type="spellStart"/>
      <w:r>
        <w:rPr>
          <w:rFonts w:ascii="Times New Roman" w:hAnsi="Times New Roman"/>
          <w:bCs/>
          <w:i/>
          <w:color w:val="000000"/>
          <w:sz w:val="20"/>
          <w:szCs w:val="24"/>
        </w:rPr>
        <w:t>Капленков</w:t>
      </w:r>
      <w:proofErr w:type="spellEnd"/>
      <w:r>
        <w:rPr>
          <w:rFonts w:ascii="Times New Roman" w:hAnsi="Times New Roman"/>
          <w:bCs/>
          <w:i/>
          <w:color w:val="000000"/>
          <w:sz w:val="20"/>
          <w:szCs w:val="24"/>
        </w:rPr>
        <w:t xml:space="preserve"> О.В.</w:t>
      </w:r>
    </w:p>
    <w:p>
      <w:pPr>
        <w:spacing w:after="0" w:line="240" w:lineRule="auto"/>
        <w:jc w:val="both"/>
        <w:rPr>
          <w:rFonts w:ascii="Times New Roman" w:hAnsi="Times New Roman"/>
          <w:b/>
          <w:bCs/>
          <w:i/>
          <w:snapToGrid w:val="0"/>
          <w:color w:val="000000"/>
          <w:sz w:val="20"/>
          <w:szCs w:val="20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bCs/>
          <w:i/>
          <w:snapToGrid w:val="0"/>
          <w:color w:val="000000"/>
          <w:sz w:val="20"/>
          <w:szCs w:val="20"/>
        </w:rPr>
      </w:pPr>
    </w:p>
    <w:p>
      <w:pPr>
        <w:tabs>
          <w:tab w:val="left" w:pos="8908"/>
        </w:tabs>
        <w:spacing w:after="0" w:line="240" w:lineRule="auto"/>
        <w:jc w:val="both"/>
        <w:rPr>
          <w:rFonts w:ascii="Times New Roman" w:hAnsi="Times New Roman"/>
          <w:b/>
          <w:bCs/>
          <w:i/>
          <w:snapToGrid w:val="0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i/>
          <w:snapToGrid w:val="0"/>
          <w:color w:val="000000"/>
          <w:sz w:val="20"/>
          <w:szCs w:val="20"/>
        </w:rPr>
        <w:t>Ответственное лицо за подготовку обоснования начальной (максимальной) цены контракта:</w:t>
      </w:r>
      <w:r>
        <w:rPr>
          <w:rFonts w:ascii="Times New Roman" w:hAnsi="Times New Roman"/>
          <w:b/>
          <w:bCs/>
          <w:i/>
          <w:snapToGrid w:val="0"/>
          <w:color w:val="000000"/>
          <w:sz w:val="20"/>
          <w:szCs w:val="20"/>
        </w:rPr>
        <w:tab/>
      </w:r>
    </w:p>
    <w:p>
      <w:pPr>
        <w:tabs>
          <w:tab w:val="left" w:pos="8908"/>
        </w:tabs>
        <w:spacing w:after="0" w:line="240" w:lineRule="auto"/>
        <w:jc w:val="both"/>
        <w:rPr>
          <w:rFonts w:ascii="Times New Roman" w:hAnsi="Times New Roman"/>
          <w:b/>
          <w:bCs/>
          <w:i/>
          <w:snapToGrid w:val="0"/>
          <w:color w:val="000000"/>
          <w:sz w:val="20"/>
          <w:szCs w:val="20"/>
        </w:rPr>
      </w:pP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/>
          <w:bCs/>
          <w:i/>
          <w:color w:val="000000"/>
          <w:sz w:val="20"/>
          <w:szCs w:val="24"/>
        </w:rPr>
        <w:t>Руководитель контрактной службы</w:t>
      </w:r>
      <w:r>
        <w:rPr>
          <w:rFonts w:ascii="Times New Roman" w:hAnsi="Times New Roman"/>
          <w:bCs/>
          <w:i/>
          <w:color w:val="000000"/>
          <w:sz w:val="20"/>
          <w:szCs w:val="24"/>
        </w:rPr>
        <w:tab/>
      </w:r>
      <w:r>
        <w:rPr>
          <w:rFonts w:ascii="Times New Roman" w:hAnsi="Times New Roman"/>
          <w:bCs/>
          <w:i/>
          <w:color w:val="000000"/>
          <w:sz w:val="20"/>
          <w:szCs w:val="24"/>
        </w:rPr>
        <w:tab/>
      </w:r>
      <w:r>
        <w:rPr>
          <w:rFonts w:ascii="Times New Roman" w:hAnsi="Times New Roman"/>
          <w:bCs/>
          <w:i/>
          <w:color w:val="000000"/>
          <w:sz w:val="20"/>
          <w:szCs w:val="24"/>
        </w:rPr>
        <w:tab/>
      </w:r>
      <w:r>
        <w:rPr>
          <w:rFonts w:ascii="Times New Roman" w:hAnsi="Times New Roman"/>
          <w:bCs/>
          <w:i/>
          <w:color w:val="000000"/>
          <w:sz w:val="20"/>
          <w:szCs w:val="24"/>
        </w:rPr>
        <w:tab/>
      </w:r>
      <w:r>
        <w:rPr>
          <w:rFonts w:ascii="Times New Roman" w:hAnsi="Times New Roman"/>
          <w:bCs/>
          <w:i/>
          <w:color w:val="000000"/>
          <w:sz w:val="20"/>
          <w:szCs w:val="24"/>
        </w:rPr>
        <w:tab/>
        <w:t>Салтыкова А.Г.</w:t>
      </w:r>
    </w:p>
    <w:p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 </w:t>
      </w:r>
    </w:p>
    <w:p>
      <w:pPr>
        <w:spacing w:after="0" w:line="240" w:lineRule="auto"/>
        <w:ind w:right="-144"/>
        <w:jc w:val="right"/>
        <w:rPr>
          <w:rFonts w:ascii="Times New Roman" w:eastAsia="Times New Roman" w:hAnsi="Times New Roman"/>
          <w:bCs/>
          <w:sz w:val="20"/>
          <w:szCs w:val="20"/>
          <w:lang w:eastAsia="ru-RU"/>
        </w:rPr>
        <w:sectPr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134" w:right="426" w:bottom="1134" w:left="1135" w:header="708" w:footer="708" w:gutter="0"/>
          <w:cols w:space="708"/>
          <w:docGrid w:linePitch="360"/>
        </w:sectPr>
      </w:pPr>
    </w:p>
    <w:p>
      <w:pPr>
        <w:spacing w:after="0" w:line="240" w:lineRule="auto"/>
        <w:ind w:right="-144"/>
        <w:jc w:val="right"/>
        <w:rPr>
          <w:rFonts w:ascii="Times New Roman" w:eastAsia="Times New Roman" w:hAnsi="Times New Roman"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Cs/>
          <w:sz w:val="20"/>
          <w:szCs w:val="20"/>
          <w:lang w:eastAsia="ru-RU"/>
        </w:rPr>
        <w:lastRenderedPageBreak/>
        <w:t>Приложение № 1 к протоколу НМЦК</w:t>
      </w:r>
    </w:p>
    <w:p>
      <w:pPr>
        <w:spacing w:after="0" w:line="240" w:lineRule="auto"/>
        <w:jc w:val="center"/>
        <w:rPr>
          <w:rFonts w:ascii="Times New Roman" w:eastAsia="Times New Roman" w:hAnsi="Times New Roman"/>
          <w:bCs/>
          <w:sz w:val="20"/>
          <w:szCs w:val="20"/>
          <w:lang w:eastAsia="ru-RU"/>
        </w:rPr>
      </w:pPr>
    </w:p>
    <w:p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РАСЧЕТ НАЧАЛЬНОЙ (МАКСИМАЛЬНОЙ) ЦЕНЫ КОНТРАКТА. </w:t>
      </w:r>
    </w:p>
    <w:p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object w:dxaOrig="1680" w:dyaOrig="10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84pt;height:54pt" o:ole="">
            <v:imagedata r:id="rId12" o:title=""/>
          </v:shape>
          <o:OLEObject Type="Embed" ProgID="Acrobat.Document.DC" ShapeID="_x0000_i1028" DrawAspect="Icon" ObjectID="_1853663805" r:id="rId13"/>
        </w:object>
      </w:r>
    </w:p>
    <w:p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ПРОЕКТ СМЕТЫ КОНТРАКТА</w:t>
      </w:r>
    </w:p>
    <w:p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object w:dxaOrig="1680" w:dyaOrig="1073">
          <v:shape id="_x0000_i1030" type="#_x0000_t75" style="width:84pt;height:54pt" o:ole="">
            <v:imagedata r:id="rId14" o:title=""/>
          </v:shape>
          <o:OLEObject Type="Embed" ProgID="Acrobat.Document.DC" ShapeID="_x0000_i1030" DrawAspect="Icon" ObjectID="_1853663806" r:id="rId15"/>
        </w:object>
      </w:r>
    </w:p>
    <w:p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>
      <w:pPr>
        <w:jc w:val="center"/>
        <w:rPr>
          <w:rFonts w:ascii="Times New Roman" w:hAnsi="Times New Roman"/>
          <w:b/>
          <w:sz w:val="20"/>
          <w:szCs w:val="20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sectPr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426" w:bottom="1134" w:left="113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oNotDisplayPageBoundaries/>
  <w:proofState w:spelling="clean" w:grammar="clean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character" w:styleId="a7">
    <w:name w:val="Hyperlink"/>
    <w:basedOn w:val="a0"/>
    <w:uiPriority w:val="99"/>
    <w:semiHidden/>
    <w:unhideWhenUsed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font5">
    <w:name w:val="font5"/>
    <w:basedOn w:val="a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6"/>
      <w:szCs w:val="16"/>
      <w:lang w:eastAsia="ru-RU"/>
    </w:rPr>
  </w:style>
  <w:style w:type="paragraph" w:customStyle="1" w:styleId="font6">
    <w:name w:val="font6"/>
    <w:basedOn w:val="a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20"/>
      <w:szCs w:val="20"/>
      <w:lang w:eastAsia="ru-RU"/>
    </w:rPr>
  </w:style>
  <w:style w:type="paragraph" w:customStyle="1" w:styleId="font7">
    <w:name w:val="font7"/>
    <w:basedOn w:val="a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20"/>
      <w:szCs w:val="20"/>
      <w:lang w:eastAsia="ru-RU"/>
    </w:rPr>
  </w:style>
  <w:style w:type="paragraph" w:customStyle="1" w:styleId="font8">
    <w:name w:val="font8"/>
    <w:basedOn w:val="a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font9">
    <w:name w:val="font9"/>
    <w:basedOn w:val="a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99">
    <w:name w:val="xl99"/>
    <w:basedOn w:val="a"/>
    <w:pPr>
      <w:shd w:val="clear" w:color="000000" w:fill="C5D9F1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0">
    <w:name w:val="xl100"/>
    <w:basedOn w:val="a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1">
    <w:name w:val="xl101"/>
    <w:basedOn w:val="a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2">
    <w:name w:val="xl102"/>
    <w:basedOn w:val="a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3">
    <w:name w:val="xl10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4">
    <w:name w:val="xl10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5">
    <w:name w:val="xl10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06">
    <w:name w:val="xl10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7">
    <w:name w:val="xl107"/>
    <w:basedOn w:val="a"/>
    <w:pP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8">
    <w:name w:val="xl108"/>
    <w:basedOn w:val="a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09">
    <w:name w:val="xl109"/>
    <w:basedOn w:val="a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0">
    <w:name w:val="xl11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1">
    <w:name w:val="xl11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2">
    <w:name w:val="xl112"/>
    <w:basedOn w:val="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3">
    <w:name w:val="xl113"/>
    <w:basedOn w:val="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4">
    <w:name w:val="xl114"/>
    <w:basedOn w:val="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5">
    <w:name w:val="xl115"/>
    <w:basedOn w:val="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16">
    <w:name w:val="xl116"/>
    <w:basedOn w:val="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7">
    <w:name w:val="xl11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8">
    <w:name w:val="xl11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19">
    <w:name w:val="xl11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0">
    <w:name w:val="xl12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1">
    <w:name w:val="xl12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2">
    <w:name w:val="xl12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3">
    <w:name w:val="xl123"/>
    <w:basedOn w:val="a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4">
    <w:name w:val="xl124"/>
    <w:basedOn w:val="a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5">
    <w:name w:val="xl125"/>
    <w:basedOn w:val="a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6">
    <w:name w:val="xl12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7">
    <w:name w:val="xl127"/>
    <w:basedOn w:val="a"/>
    <w:pPr>
      <w:shd w:val="clear" w:color="000000" w:fill="C5D9F1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8">
    <w:name w:val="xl12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9">
    <w:name w:val="xl12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0">
    <w:name w:val="xl13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1">
    <w:name w:val="xl13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2">
    <w:name w:val="xl132"/>
    <w:basedOn w:val="a"/>
    <w:pP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3">
    <w:name w:val="xl133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4">
    <w:name w:val="xl134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5">
    <w:name w:val="xl13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6">
    <w:name w:val="xl13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i/>
      <w:iCs/>
      <w:sz w:val="20"/>
      <w:szCs w:val="20"/>
      <w:lang w:eastAsia="ru-RU"/>
    </w:rPr>
  </w:style>
  <w:style w:type="paragraph" w:customStyle="1" w:styleId="xl137">
    <w:name w:val="xl13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38">
    <w:name w:val="xl13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39">
    <w:name w:val="xl13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40">
    <w:name w:val="xl14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41">
    <w:name w:val="xl141"/>
    <w:basedOn w:val="a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42">
    <w:name w:val="xl14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i/>
      <w:iCs/>
      <w:sz w:val="20"/>
      <w:szCs w:val="20"/>
      <w:lang w:eastAsia="ru-RU"/>
    </w:rPr>
  </w:style>
  <w:style w:type="paragraph" w:customStyle="1" w:styleId="xl143">
    <w:name w:val="xl14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i/>
      <w:iCs/>
      <w:sz w:val="20"/>
      <w:szCs w:val="20"/>
      <w:lang w:eastAsia="ru-RU"/>
    </w:rPr>
  </w:style>
  <w:style w:type="paragraph" w:customStyle="1" w:styleId="xl144">
    <w:name w:val="xl14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i/>
      <w:iCs/>
      <w:sz w:val="20"/>
      <w:szCs w:val="20"/>
      <w:lang w:eastAsia="ru-RU"/>
    </w:rPr>
  </w:style>
  <w:style w:type="paragraph" w:customStyle="1" w:styleId="xl145">
    <w:name w:val="xl14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i/>
      <w:iCs/>
      <w:sz w:val="20"/>
      <w:szCs w:val="20"/>
      <w:lang w:eastAsia="ru-RU"/>
    </w:rPr>
  </w:style>
  <w:style w:type="paragraph" w:customStyle="1" w:styleId="xl146">
    <w:name w:val="xl146"/>
    <w:basedOn w:val="a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i/>
      <w:iCs/>
      <w:sz w:val="20"/>
      <w:szCs w:val="20"/>
      <w:lang w:eastAsia="ru-RU"/>
    </w:rPr>
  </w:style>
  <w:style w:type="paragraph" w:customStyle="1" w:styleId="xl147">
    <w:name w:val="xl14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48">
    <w:name w:val="xl14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i/>
      <w:iCs/>
      <w:sz w:val="20"/>
      <w:szCs w:val="20"/>
      <w:lang w:eastAsia="ru-RU"/>
    </w:rPr>
  </w:style>
  <w:style w:type="paragraph" w:customStyle="1" w:styleId="xl149">
    <w:name w:val="xl14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50">
    <w:name w:val="xl15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51">
    <w:name w:val="xl15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52">
    <w:name w:val="xl152"/>
    <w:basedOn w:val="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53">
    <w:name w:val="xl15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54">
    <w:name w:val="xl15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55">
    <w:name w:val="xl15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56">
    <w:name w:val="xl15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57">
    <w:name w:val="xl157"/>
    <w:basedOn w:val="a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158">
    <w:name w:val="xl158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59">
    <w:name w:val="xl15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160">
    <w:name w:val="xl16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161">
    <w:name w:val="xl161"/>
    <w:basedOn w:val="a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162">
    <w:name w:val="xl162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163">
    <w:name w:val="xl16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customStyle="1" w:styleId="xl164">
    <w:name w:val="xl16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65">
    <w:name w:val="xl16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66">
    <w:name w:val="xl16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67">
    <w:name w:val="xl16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68">
    <w:name w:val="xl16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69">
    <w:name w:val="xl16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0">
    <w:name w:val="xl17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1">
    <w:name w:val="xl17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172">
    <w:name w:val="xl17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73">
    <w:name w:val="xl17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74">
    <w:name w:val="xl17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75">
    <w:name w:val="xl175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6">
    <w:name w:val="xl17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77">
    <w:name w:val="xl17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8">
    <w:name w:val="xl17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9">
    <w:name w:val="xl17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80">
    <w:name w:val="xl18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181">
    <w:name w:val="xl18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82">
    <w:name w:val="xl18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83">
    <w:name w:val="xl18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84">
    <w:name w:val="xl18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85">
    <w:name w:val="xl18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86">
    <w:name w:val="xl18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87">
    <w:name w:val="xl18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88">
    <w:name w:val="xl18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89">
    <w:name w:val="xl18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customStyle="1" w:styleId="xl190">
    <w:name w:val="xl19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191">
    <w:name w:val="xl19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92">
    <w:name w:val="xl19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customStyle="1" w:styleId="xl193">
    <w:name w:val="xl19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94">
    <w:name w:val="xl19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95">
    <w:name w:val="xl19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96">
    <w:name w:val="xl19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197">
    <w:name w:val="xl19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198">
    <w:name w:val="xl19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99">
    <w:name w:val="xl19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200">
    <w:name w:val="xl20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01">
    <w:name w:val="xl20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customStyle="1" w:styleId="xl202">
    <w:name w:val="xl20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203">
    <w:name w:val="xl20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204">
    <w:name w:val="xl20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205">
    <w:name w:val="xl20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206">
    <w:name w:val="xl20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207">
    <w:name w:val="xl20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i/>
      <w:iCs/>
      <w:sz w:val="18"/>
      <w:szCs w:val="18"/>
      <w:lang w:eastAsia="ru-RU"/>
    </w:rPr>
  </w:style>
  <w:style w:type="paragraph" w:customStyle="1" w:styleId="xl208">
    <w:name w:val="xl20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09">
    <w:name w:val="xl20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10">
    <w:name w:val="xl21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customStyle="1" w:styleId="xl211">
    <w:name w:val="xl211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12">
    <w:name w:val="xl212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13">
    <w:name w:val="xl213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14">
    <w:name w:val="xl214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15">
    <w:name w:val="xl215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16">
    <w:name w:val="xl216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17">
    <w:name w:val="xl217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18">
    <w:name w:val="xl21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19">
    <w:name w:val="xl219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 w:cs="Calibri"/>
      <w:b/>
      <w:bCs/>
      <w:sz w:val="24"/>
      <w:szCs w:val="24"/>
      <w:lang w:eastAsia="ru-RU"/>
    </w:rPr>
  </w:style>
  <w:style w:type="paragraph" w:customStyle="1" w:styleId="xl220">
    <w:name w:val="xl220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 w:cs="Calibri"/>
      <w:b/>
      <w:bCs/>
      <w:sz w:val="24"/>
      <w:szCs w:val="24"/>
      <w:lang w:eastAsia="ru-RU"/>
    </w:rPr>
  </w:style>
  <w:style w:type="paragraph" w:customStyle="1" w:styleId="xl221">
    <w:name w:val="xl221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 w:cs="Calibri"/>
      <w:b/>
      <w:bCs/>
      <w:sz w:val="24"/>
      <w:szCs w:val="24"/>
      <w:lang w:eastAsia="ru-RU"/>
    </w:rPr>
  </w:style>
  <w:style w:type="paragraph" w:customStyle="1" w:styleId="xl222">
    <w:name w:val="xl222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23">
    <w:name w:val="xl223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24">
    <w:name w:val="xl224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25">
    <w:name w:val="xl225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26">
    <w:name w:val="xl226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27">
    <w:name w:val="xl227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28">
    <w:name w:val="xl228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29">
    <w:name w:val="xl229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230">
    <w:name w:val="xl230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231">
    <w:name w:val="xl231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232">
    <w:name w:val="xl232"/>
    <w:basedOn w:val="a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233">
    <w:name w:val="xl23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234">
    <w:name w:val="xl23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235">
    <w:name w:val="xl235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36">
    <w:name w:val="xl236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37">
    <w:name w:val="xl23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238">
    <w:name w:val="xl23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239">
    <w:name w:val="xl239"/>
    <w:basedOn w:val="a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240">
    <w:name w:val="xl240"/>
    <w:basedOn w:val="a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241">
    <w:name w:val="xl241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customStyle="1" w:styleId="xl242">
    <w:name w:val="xl242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customStyle="1" w:styleId="xl243">
    <w:name w:val="xl243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Calibri"/>
      <w:b/>
      <w:bCs/>
      <w:sz w:val="24"/>
      <w:szCs w:val="24"/>
      <w:lang w:eastAsia="ru-RU"/>
    </w:rPr>
  </w:style>
  <w:style w:type="paragraph" w:customStyle="1" w:styleId="xl244">
    <w:name w:val="xl244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 w:cs="Calibri"/>
      <w:b/>
      <w:bCs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Pr>
      <w:rFonts w:ascii="Segoe UI" w:eastAsia="Calibri" w:hAnsi="Segoe UI" w:cs="Segoe UI"/>
      <w:sz w:val="18"/>
      <w:szCs w:val="18"/>
    </w:rPr>
  </w:style>
  <w:style w:type="paragraph" w:styleId="ab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oleObject" Target="embeddings/oleObject1.bin"/><Relationship Id="rId18" Type="http://schemas.openxmlformats.org/officeDocument/2006/relationships/footer" Target="footer4.xml"/><Relationship Id="rId3" Type="http://schemas.openxmlformats.org/officeDocument/2006/relationships/webSettings" Target="webSettings.xml"/><Relationship Id="rId21" Type="http://schemas.openxmlformats.org/officeDocument/2006/relationships/footer" Target="footer6.xml"/><Relationship Id="rId7" Type="http://schemas.openxmlformats.org/officeDocument/2006/relationships/header" Target="header2.xml"/><Relationship Id="rId12" Type="http://schemas.openxmlformats.org/officeDocument/2006/relationships/image" Target="media/image1.emf"/><Relationship Id="rId17" Type="http://schemas.openxmlformats.org/officeDocument/2006/relationships/header" Target="header5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2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2025-09-25T08:25:00Z</dcterms:created>
  <dcterms:modified xsi:type="dcterms:W3CDTF">2026-10-16T10:50:00Z</dcterms:modified>
</cp:coreProperties>
</file>