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uppressAutoHyphens/>
        <w:spacing w:after="0" w:line="240" w:lineRule="auto"/>
        <w:jc w:val="right"/>
        <w:rPr>
          <w:rFonts w:ascii="Times New Roman" w:hAnsi="Times New Roman" w:cs="Times New Roman"/>
          <w:sz w:val="24"/>
          <w:szCs w:val="24"/>
          <w:lang w:eastAsia="zh-CN"/>
        </w:rPr>
      </w:pPr>
      <w:r>
        <w:rPr>
          <w:rFonts w:ascii="Times New Roman" w:hAnsi="Times New Roman"/>
        </w:rPr>
        <w:t>Приложение № 4 к Извещению</w:t>
      </w:r>
    </w:p>
    <w:p>
      <w:pPr>
        <w:suppressAutoHyphens/>
        <w:spacing w:after="0" w:line="240" w:lineRule="auto"/>
        <w:jc w:val="right"/>
        <w:rPr>
          <w:rFonts w:ascii="Times New Roman" w:hAnsi="Times New Roman" w:cs="Times New Roman"/>
          <w:sz w:val="24"/>
          <w:szCs w:val="24"/>
          <w:lang w:eastAsia="zh-CN"/>
        </w:rPr>
      </w:pPr>
    </w:p>
    <w:p>
      <w:pPr>
        <w:jc w:val="center"/>
        <w:rPr>
          <w:rFonts w:ascii="Times New Roman" w:hAnsi="Times New Roman"/>
          <w:b/>
        </w:rPr>
      </w:pPr>
      <w:bookmarkStart w:id="0" w:name="Par438"/>
      <w:bookmarkStart w:id="1" w:name="Par439"/>
      <w:bookmarkStart w:id="2" w:name="Par440"/>
      <w:bookmarkStart w:id="3" w:name="Par441"/>
      <w:bookmarkStart w:id="4" w:name="Par442"/>
      <w:bookmarkStart w:id="5" w:name="Par443"/>
      <w:bookmarkEnd w:id="0"/>
      <w:bookmarkEnd w:id="1"/>
      <w:bookmarkEnd w:id="2"/>
      <w:bookmarkEnd w:id="3"/>
      <w:bookmarkEnd w:id="4"/>
      <w:bookmarkEnd w:id="5"/>
      <w:r>
        <w:rPr>
          <w:rFonts w:ascii="Times New Roman" w:hAnsi="Times New Roman"/>
          <w:b/>
        </w:rPr>
        <w:t>ПОРЯДОК РАССМОТРЕНИЯ И ОЦЕНКИ ЗАЯВОК</w:t>
      </w:r>
    </w:p>
    <w:p>
      <w:pPr>
        <w:jc w:val="center"/>
        <w:rPr>
          <w:rFonts w:ascii="Times New Roman" w:hAnsi="Times New Roman"/>
          <w:b/>
        </w:rPr>
      </w:pPr>
      <w:r>
        <w:rPr>
          <w:rFonts w:ascii="Times New Roman" w:hAnsi="Times New Roman"/>
          <w:b/>
        </w:rPr>
        <w:t>НА УЧАСТИЕ В КОНКУРСЕ</w:t>
      </w:r>
    </w:p>
    <w:p>
      <w:pPr>
        <w:rPr>
          <w:rFonts w:ascii="Times New Roman" w:hAnsi="Times New Roman"/>
        </w:rPr>
      </w:pPr>
    </w:p>
    <w:p>
      <w:pPr>
        <w:numPr>
          <w:ilvl w:val="0"/>
          <w:numId w:val="6"/>
        </w:numPr>
        <w:spacing w:after="0" w:line="240" w:lineRule="auto"/>
        <w:contextualSpacing/>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Информация о заказчиках и закупке товаров, работ, услуг для обеспечения </w:t>
      </w:r>
    </w:p>
    <w:p>
      <w:pPr>
        <w:spacing w:after="0" w:line="240" w:lineRule="auto"/>
        <w:ind w:left="360"/>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государственных и муниципальных нужд (далее - закупка)</w:t>
      </w:r>
    </w:p>
    <w:p>
      <w:pPr>
        <w:widowControl w:val="0"/>
        <w:spacing w:after="0" w:line="240" w:lineRule="auto"/>
        <w:jc w:val="both"/>
        <w:rPr>
          <w:rFonts w:ascii="Times New Roman" w:eastAsia="Times New Roman" w:hAnsi="Times New Roman" w:cs="Times New Roman"/>
          <w:color w:val="000000"/>
          <w:lang w:eastAsia="ru-RU"/>
        </w:rPr>
      </w:pPr>
    </w:p>
    <w:tbl>
      <w:tblPr>
        <w:tblW w:w="15593" w:type="dxa"/>
        <w:tblInd w:w="-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2" w:type="dxa"/>
          <w:left w:w="62" w:type="dxa"/>
          <w:bottom w:w="102" w:type="dxa"/>
          <w:right w:w="62" w:type="dxa"/>
        </w:tblCellMar>
        <w:tblLook w:val="04A0" w:firstRow="1" w:lastRow="0" w:firstColumn="1" w:lastColumn="0" w:noHBand="0" w:noVBand="1"/>
      </w:tblPr>
      <w:tblGrid>
        <w:gridCol w:w="3619"/>
        <w:gridCol w:w="7796"/>
        <w:gridCol w:w="1707"/>
        <w:gridCol w:w="2471"/>
      </w:tblGrid>
      <w:tr>
        <w:tc>
          <w:tcPr>
            <w:tcW w:w="13122" w:type="dxa"/>
            <w:gridSpan w:val="3"/>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rPr>
                <w:rFonts w:ascii="Times New Roman" w:eastAsia="Times New Roman" w:hAnsi="Times New Roman" w:cs="Times New Roman"/>
                <w:color w:val="000000"/>
                <w:lang w:eastAsia="ru-RU"/>
              </w:rPr>
            </w:pPr>
          </w:p>
        </w:tc>
        <w:tc>
          <w:tcPr>
            <w:tcW w:w="247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Коды</w:t>
            </w:r>
          </w:p>
        </w:tc>
      </w:tr>
      <w:tr>
        <w:tc>
          <w:tcPr>
            <w:tcW w:w="361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Полное наименование</w:t>
            </w:r>
          </w:p>
        </w:tc>
        <w:tc>
          <w:tcPr>
            <w:tcW w:w="7796"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vAlign w:val="center"/>
          </w:tcPr>
          <w:p>
            <w:pPr>
              <w:widowControl w:val="0"/>
              <w:spacing w:after="0" w:line="240" w:lineRule="auto"/>
              <w:jc w:val="both"/>
              <w:rPr>
                <w:rFonts w:ascii="Times New Roman" w:eastAsia="Times New Roman" w:hAnsi="Times New Roman" w:cs="Times New Roman"/>
                <w:color w:val="000000"/>
                <w:lang w:eastAsia="ru-RU"/>
              </w:rPr>
            </w:pPr>
            <w:r>
              <w:rPr>
                <w:rFonts w:ascii="Times New Roman" w:hAnsi="Times New Roman" w:cs="Times New Roman"/>
                <w:bCs/>
              </w:rPr>
              <w:t>Государственное бюджетное учреждение «Санкт-Петербургский научно-исследовательский институт скорой помощи имени И.И. Джанелидзе»</w:t>
            </w:r>
          </w:p>
        </w:tc>
        <w:tc>
          <w:tcPr>
            <w:tcW w:w="1707"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ИНН</w:t>
            </w:r>
          </w:p>
        </w:tc>
        <w:tc>
          <w:tcPr>
            <w:tcW w:w="247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vAlign w:val="center"/>
          </w:tcPr>
          <w:p>
            <w:pPr>
              <w:widowControl w:val="0"/>
              <w:spacing w:after="0" w:line="240" w:lineRule="auto"/>
              <w:rPr>
                <w:rFonts w:ascii="Times New Roman" w:hAnsi="Times New Roman" w:cs="Times New Roman"/>
              </w:rPr>
            </w:pPr>
            <w:r>
              <w:rPr>
                <w:rFonts w:ascii="Times New Roman" w:hAnsi="Times New Roman" w:cs="Times New Roman"/>
              </w:rPr>
              <w:t>7816058093</w:t>
            </w:r>
          </w:p>
        </w:tc>
      </w:tr>
      <w:tr>
        <w:tc>
          <w:tcPr>
            <w:tcW w:w="361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rPr>
                <w:rFonts w:ascii="Times New Roman" w:eastAsia="Times New Roman" w:hAnsi="Times New Roman" w:cs="Times New Roman"/>
                <w:color w:val="000000"/>
                <w:lang w:eastAsia="ru-RU"/>
              </w:rPr>
            </w:pPr>
          </w:p>
        </w:tc>
        <w:tc>
          <w:tcPr>
            <w:tcW w:w="7796"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rPr>
                <w:rFonts w:ascii="Times New Roman" w:eastAsia="Times New Roman" w:hAnsi="Times New Roman" w:cs="Times New Roman"/>
                <w:color w:val="000000"/>
                <w:lang w:eastAsia="ru-RU"/>
              </w:rPr>
            </w:pPr>
          </w:p>
        </w:tc>
        <w:tc>
          <w:tcPr>
            <w:tcW w:w="1707"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КПП</w:t>
            </w:r>
          </w:p>
        </w:tc>
        <w:tc>
          <w:tcPr>
            <w:tcW w:w="247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rPr>
                <w:rFonts w:ascii="Times New Roman" w:eastAsia="Times New Roman" w:hAnsi="Times New Roman" w:cs="Times New Roman"/>
                <w:color w:val="000000"/>
                <w:lang w:eastAsia="ru-RU"/>
              </w:rPr>
            </w:pPr>
            <w:r>
              <w:rPr>
                <w:rFonts w:ascii="Times New Roman" w:hAnsi="Times New Roman" w:cs="Times New Roman"/>
              </w:rPr>
              <w:t>781601001</w:t>
            </w:r>
          </w:p>
        </w:tc>
      </w:tr>
      <w:tr>
        <w:tc>
          <w:tcPr>
            <w:tcW w:w="361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Место нахождения, телефон, адрес электронной почты</w:t>
            </w:r>
          </w:p>
        </w:tc>
        <w:tc>
          <w:tcPr>
            <w:tcW w:w="7796"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jc w:val="both"/>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Место нахождения: </w:t>
            </w:r>
            <w:r>
              <w:rPr>
                <w:rFonts w:ascii="Times New Roman" w:hAnsi="Times New Roman" w:cs="Times New Roman"/>
                <w:bCs/>
              </w:rPr>
              <w:t>192242, Санкт-Петербург, Будапештская ул., д. 3 литера А</w:t>
            </w:r>
          </w:p>
          <w:p>
            <w:pPr>
              <w:widowControl w:val="0"/>
              <w:spacing w:after="0" w:line="240" w:lineRule="auto"/>
              <w:jc w:val="both"/>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Телефон: </w:t>
            </w:r>
            <w:r>
              <w:rPr>
                <w:rFonts w:ascii="Times New Roman" w:hAnsi="Times New Roman" w:cs="Times New Roman"/>
                <w:bCs/>
              </w:rPr>
              <w:t>+7 (812) 3844621</w:t>
            </w:r>
          </w:p>
          <w:p>
            <w:pPr>
              <w:pStyle w:val="2"/>
              <w:rPr>
                <w:rFonts w:ascii="Times New Roman" w:hAnsi="Times New Roman" w:cs="Times New Roman"/>
                <w:color w:val="auto"/>
                <w:sz w:val="22"/>
                <w:szCs w:val="22"/>
              </w:rPr>
            </w:pPr>
            <w:r>
              <w:rPr>
                <w:rFonts w:ascii="Times New Roman" w:eastAsia="Times New Roman" w:hAnsi="Times New Roman" w:cs="Times New Roman"/>
                <w:color w:val="000000"/>
                <w:sz w:val="22"/>
                <w:szCs w:val="22"/>
                <w:lang w:eastAsia="ru-RU"/>
              </w:rPr>
              <w:t>Адрес электронной почты: gz@emergency.spb.ru</w:t>
            </w:r>
          </w:p>
        </w:tc>
        <w:tc>
          <w:tcPr>
            <w:tcW w:w="1707"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     по ОКТМО</w:t>
            </w:r>
          </w:p>
        </w:tc>
        <w:tc>
          <w:tcPr>
            <w:tcW w:w="247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40904000</w:t>
            </w:r>
          </w:p>
        </w:tc>
      </w:tr>
      <w:tr>
        <w:tc>
          <w:tcPr>
            <w:tcW w:w="361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Наименование объекта закупки</w:t>
            </w:r>
          </w:p>
        </w:tc>
        <w:tc>
          <w:tcPr>
            <w:tcW w:w="11974" w:type="dxa"/>
            <w:gridSpan w:val="3"/>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Капитальный ремонт помещений первого этажа корпуса № 4 под размещение склада для хранения резерва медицинского имущества в здании по адресу: Санкт-Петербург, ул. Будапештская, д.3, лит. А, Этап 2</w:t>
            </w:r>
          </w:p>
        </w:tc>
      </w:tr>
    </w:tbl>
    <w:p>
      <w:pPr>
        <w:numPr>
          <w:ilvl w:val="0"/>
          <w:numId w:val="6"/>
        </w:numPr>
        <w:spacing w:after="0" w:line="240" w:lineRule="auto"/>
        <w:ind w:left="0" w:firstLine="0"/>
        <w:contextualSpacing/>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br w:type="page"/>
      </w:r>
      <w:r>
        <w:rPr>
          <w:rFonts w:ascii="Times New Roman" w:eastAsia="Times New Roman" w:hAnsi="Times New Roman" w:cs="Times New Roman"/>
          <w:color w:val="000000"/>
          <w:lang w:eastAsia="ru-RU"/>
        </w:rPr>
        <w:lastRenderedPageBreak/>
        <w:t>Критерии и показатели оценки заявок на участие в закупке</w:t>
      </w:r>
    </w:p>
    <w:p>
      <w:pPr>
        <w:spacing w:after="0" w:line="240" w:lineRule="auto"/>
        <w:ind w:left="360"/>
        <w:jc w:val="center"/>
        <w:rPr>
          <w:rFonts w:ascii="Times New Roman" w:eastAsia="Times New Roman" w:hAnsi="Times New Roman" w:cs="Times New Roman"/>
          <w:color w:val="000000"/>
          <w:lang w:eastAsia="ru-RU"/>
        </w:rPr>
      </w:pPr>
    </w:p>
    <w:tbl>
      <w:tblPr>
        <w:tblW w:w="15877" w:type="dxa"/>
        <w:tblInd w:w="-6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2" w:type="dxa"/>
          <w:left w:w="62" w:type="dxa"/>
          <w:bottom w:w="102" w:type="dxa"/>
          <w:right w:w="62" w:type="dxa"/>
        </w:tblCellMar>
        <w:tblLook w:val="04A0" w:firstRow="1" w:lastRow="0" w:firstColumn="1" w:lastColumn="0" w:noHBand="0" w:noVBand="1"/>
      </w:tblPr>
      <w:tblGrid>
        <w:gridCol w:w="709"/>
        <w:gridCol w:w="1776"/>
        <w:gridCol w:w="992"/>
        <w:gridCol w:w="1276"/>
        <w:gridCol w:w="1059"/>
        <w:gridCol w:w="1418"/>
        <w:gridCol w:w="1343"/>
        <w:gridCol w:w="7304"/>
      </w:tblGrid>
      <w:tr>
        <w:trPr>
          <w:trHeight w:val="20"/>
        </w:trPr>
        <w:tc>
          <w:tcPr>
            <w:tcW w:w="70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N</w:t>
            </w:r>
          </w:p>
        </w:tc>
        <w:tc>
          <w:tcPr>
            <w:tcW w:w="1776"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Критерий оценки</w:t>
            </w:r>
          </w:p>
        </w:tc>
        <w:tc>
          <w:tcPr>
            <w:tcW w:w="992"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Значимость критерия оценки, процентов</w:t>
            </w:r>
          </w:p>
        </w:tc>
        <w:tc>
          <w:tcPr>
            <w:tcW w:w="1276"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Показатель оценки</w:t>
            </w:r>
          </w:p>
        </w:tc>
        <w:tc>
          <w:tcPr>
            <w:tcW w:w="10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Значимость показателя оценки, процентов</w:t>
            </w:r>
          </w:p>
        </w:tc>
        <w:tc>
          <w:tcPr>
            <w:tcW w:w="1418"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Показатель оценки, детализирующий показатель оценки</w:t>
            </w:r>
          </w:p>
        </w:tc>
        <w:tc>
          <w:tcPr>
            <w:tcW w:w="1343"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Значимость показателя, детализирующего показатель оценки, процентов</w:t>
            </w:r>
          </w:p>
        </w:tc>
        <w:tc>
          <w:tcPr>
            <w:tcW w:w="7304"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Формула оценки или шкала оценки</w:t>
            </w:r>
          </w:p>
        </w:tc>
      </w:tr>
      <w:tr>
        <w:trPr>
          <w:trHeight w:val="20"/>
        </w:trPr>
        <w:tc>
          <w:tcPr>
            <w:tcW w:w="70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1.</w:t>
            </w:r>
          </w:p>
        </w:tc>
        <w:tc>
          <w:tcPr>
            <w:tcW w:w="1776"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Цена контракта, сумма цен единиц товара, работы, услуги</w:t>
            </w:r>
          </w:p>
        </w:tc>
        <w:tc>
          <w:tcPr>
            <w:tcW w:w="992"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 xml:space="preserve">60 % </w:t>
            </w:r>
          </w:p>
        </w:tc>
        <w:tc>
          <w:tcPr>
            <w:tcW w:w="1276"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w:t>
            </w:r>
          </w:p>
        </w:tc>
        <w:tc>
          <w:tcPr>
            <w:tcW w:w="10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w:t>
            </w:r>
          </w:p>
        </w:tc>
        <w:tc>
          <w:tcPr>
            <w:tcW w:w="1418"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w:t>
            </w:r>
          </w:p>
        </w:tc>
        <w:tc>
          <w:tcPr>
            <w:tcW w:w="1343"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w:t>
            </w:r>
          </w:p>
          <w:p>
            <w:pPr>
              <w:widowControl w:val="0"/>
              <w:spacing w:after="0" w:line="240" w:lineRule="auto"/>
              <w:jc w:val="both"/>
              <w:rPr>
                <w:rFonts w:ascii="Times New Roman" w:eastAsia="Times New Roman" w:hAnsi="Times New Roman" w:cs="Times New Roman"/>
                <w:color w:val="000000"/>
                <w:szCs w:val="20"/>
                <w:lang w:eastAsia="ru-RU"/>
              </w:rPr>
            </w:pPr>
          </w:p>
        </w:tc>
        <w:tc>
          <w:tcPr>
            <w:tcW w:w="7304"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vAlign w:val="center"/>
          </w:tcPr>
          <w:p>
            <w:pPr>
              <w:widowControl w:val="0"/>
              <w:spacing w:after="0" w:line="240" w:lineRule="auto"/>
              <w:jc w:val="both"/>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оценка заявок осуществляется по формулам, предусмотренным пунктами 9 или 10 Положения об оценке заявок на участие в закупке товаров, работ, услуг для обеспечения государственных и муниципальных нужд, утвержденного постановлением Правительства Российской Федерации от 31 декабря 2021 г. N 2604 "Об оценке заявок на участие в закупке товаров, работ, услуг для обеспечения государственных и муниципальных нужд, внесении изменений в пункт 4 постановления Правительства Российской Федерации от 20 декабря 2021 г. N 2369 и признании утратившими силу некоторых актов и отдельных положений некоторых актов Правительства Российской Федерации" (далее - Положение):</w:t>
            </w:r>
          </w:p>
          <w:p>
            <w:pPr>
              <w:widowControl w:val="0"/>
              <w:spacing w:after="0" w:line="240" w:lineRule="auto"/>
              <w:contextualSpacing/>
              <w:jc w:val="both"/>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1.1. Значение количества баллов по критерию оценки "цена контракта, сумма цен единиц товара, работы, услуги", присваиваемое заявке, которая подлежит в соответствии с</w:t>
            </w:r>
            <w:r>
              <w:rPr>
                <w:rFonts w:ascii="Times New Roman" w:eastAsia="Times New Roman" w:hAnsi="Times New Roman" w:cs="Times New Roman"/>
                <w:color w:val="000000"/>
                <w:sz w:val="20"/>
                <w:szCs w:val="20"/>
                <w:lang w:eastAsia="ru-RU"/>
              </w:rPr>
              <w:t xml:space="preserve"> </w:t>
            </w:r>
            <w:r>
              <w:rPr>
                <w:rFonts w:ascii="Times New Roman" w:eastAsia="Times New Roman" w:hAnsi="Times New Roman" w:cs="Times New Roman"/>
                <w:color w:val="000000"/>
                <w:szCs w:val="20"/>
                <w:lang w:eastAsia="ru-RU"/>
              </w:rPr>
              <w:t>Федеральным законом от 05.04.2013 N 44-ФЗ «О контрактной системе в сфере закупок товаров, работ, услуг для обеспечения государственных и муниципальных нужд» (далее - Закон о контрактной системе) оценке по указанному критерию оценки, (</w:t>
            </w:r>
            <w:proofErr w:type="spellStart"/>
            <w:r>
              <w:rPr>
                <w:rFonts w:ascii="Times New Roman" w:eastAsia="Times New Roman" w:hAnsi="Times New Roman" w:cs="Times New Roman"/>
                <w:color w:val="000000"/>
                <w:szCs w:val="20"/>
                <w:lang w:eastAsia="ru-RU"/>
              </w:rPr>
              <w:t>БЦ</w:t>
            </w:r>
            <w:r>
              <w:rPr>
                <w:rFonts w:ascii="Times New Roman" w:eastAsia="Times New Roman" w:hAnsi="Times New Roman" w:cs="Times New Roman"/>
                <w:color w:val="000000"/>
                <w:szCs w:val="20"/>
                <w:vertAlign w:val="subscript"/>
                <w:lang w:eastAsia="ru-RU"/>
              </w:rPr>
              <w:t>i</w:t>
            </w:r>
            <w:proofErr w:type="spellEnd"/>
            <w:r>
              <w:rPr>
                <w:rFonts w:ascii="Times New Roman" w:eastAsia="Times New Roman" w:hAnsi="Times New Roman" w:cs="Times New Roman"/>
                <w:color w:val="000000"/>
                <w:szCs w:val="20"/>
                <w:lang w:eastAsia="ru-RU"/>
              </w:rPr>
              <w:t>) определяется по одной из следующих формул:</w:t>
            </w:r>
          </w:p>
          <w:p>
            <w:pPr>
              <w:widowControl w:val="0"/>
              <w:spacing w:after="0" w:line="240" w:lineRule="auto"/>
              <w:contextualSpacing/>
              <w:jc w:val="both"/>
              <w:rPr>
                <w:rFonts w:ascii="Times New Roman" w:eastAsia="Times New Roman" w:hAnsi="Times New Roman" w:cs="Times New Roman"/>
                <w:color w:val="000000"/>
                <w:szCs w:val="20"/>
                <w:lang w:eastAsia="ru-RU"/>
              </w:rPr>
            </w:pPr>
            <w:bookmarkStart w:id="6" w:name="Par90"/>
            <w:bookmarkEnd w:id="6"/>
            <w:r>
              <w:rPr>
                <w:rFonts w:ascii="Times New Roman" w:eastAsia="Times New Roman" w:hAnsi="Times New Roman" w:cs="Times New Roman"/>
                <w:color w:val="000000"/>
                <w:szCs w:val="20"/>
                <w:lang w:eastAsia="ru-RU"/>
              </w:rPr>
              <w:t xml:space="preserve">а) за исключением случаев, предусмотренных </w:t>
            </w:r>
            <w:hyperlink r:id="rId8" w:anchor="Par98" w:tooltip="б) в случае если по результатам применения формулы, предусмотренной подпунктом " w:history="1">
              <w:r>
                <w:rPr>
                  <w:rFonts w:ascii="Times New Roman" w:eastAsia="Times New Roman" w:hAnsi="Times New Roman" w:cs="Times New Roman"/>
                  <w:color w:val="000000"/>
                  <w:szCs w:val="20"/>
                  <w:lang w:eastAsia="ru-RU"/>
                </w:rPr>
                <w:t>подпунктом "б"</w:t>
              </w:r>
            </w:hyperlink>
            <w:r>
              <w:rPr>
                <w:rFonts w:ascii="Times New Roman" w:eastAsia="Times New Roman" w:hAnsi="Times New Roman" w:cs="Times New Roman"/>
                <w:color w:val="000000"/>
                <w:szCs w:val="20"/>
                <w:lang w:eastAsia="ru-RU"/>
              </w:rPr>
              <w:t xml:space="preserve"> настоящего пункта и </w:t>
            </w:r>
            <w:hyperlink w:anchor="Par104" w:tooltip="10. Если при проведении процедуры подачи предложений о цене контракта либо о сумме цен единиц товара, работы, услуги (в случае, предусмотренном частью 24 статьи 22 Федерального закона) в соответствии с Федеральным законом подано ценовое предложение, предусматр" w:history="1">
              <w:r>
                <w:rPr>
                  <w:rFonts w:ascii="Times New Roman" w:eastAsia="Times New Roman" w:hAnsi="Times New Roman" w:cs="Times New Roman"/>
                  <w:color w:val="000000"/>
                  <w:szCs w:val="20"/>
                  <w:lang w:eastAsia="ru-RU"/>
                </w:rPr>
                <w:t>пунктом 1.2</w:t>
              </w:r>
            </w:hyperlink>
            <w:r>
              <w:rPr>
                <w:rFonts w:ascii="Times New Roman" w:eastAsia="Times New Roman" w:hAnsi="Times New Roman" w:cs="Times New Roman"/>
                <w:color w:val="000000"/>
                <w:szCs w:val="20"/>
                <w:lang w:eastAsia="ru-RU"/>
              </w:rPr>
              <w:t>, - по формуле:</w:t>
            </w:r>
          </w:p>
          <w:p>
            <w:pPr>
              <w:widowControl w:val="0"/>
              <w:spacing w:after="0" w:line="240" w:lineRule="auto"/>
              <w:contextualSpacing/>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noProof/>
                <w:color w:val="000000"/>
                <w:szCs w:val="20"/>
                <w:lang w:eastAsia="ru-RU"/>
              </w:rPr>
              <w:drawing>
                <wp:inline distT="0" distB="0" distL="0" distR="0">
                  <wp:extent cx="1211580" cy="350520"/>
                  <wp:effectExtent l="0" t="0" r="0" b="0"/>
                  <wp:docPr id="4"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rcRect/>
                          <a:stretch/>
                        </pic:blipFill>
                        <pic:spPr>
                          <a:xfrm>
                            <a:off x="0" y="0"/>
                            <a:ext cx="1211580" cy="350520"/>
                          </a:xfrm>
                          <a:prstGeom prst="rect">
                            <a:avLst/>
                          </a:prstGeom>
                        </pic:spPr>
                      </pic:pic>
                    </a:graphicData>
                  </a:graphic>
                </wp:inline>
              </w:drawing>
            </w:r>
          </w:p>
          <w:p>
            <w:pPr>
              <w:widowControl w:val="0"/>
              <w:spacing w:after="0" w:line="240" w:lineRule="auto"/>
              <w:contextualSpacing/>
              <w:jc w:val="both"/>
              <w:rPr>
                <w:rFonts w:ascii="Times New Roman" w:eastAsia="Times New Roman" w:hAnsi="Times New Roman" w:cs="Times New Roman"/>
                <w:color w:val="000000"/>
                <w:szCs w:val="20"/>
                <w:lang w:eastAsia="ru-RU"/>
              </w:rPr>
            </w:pPr>
          </w:p>
          <w:p>
            <w:pPr>
              <w:widowControl w:val="0"/>
              <w:spacing w:after="0" w:line="240" w:lineRule="auto"/>
              <w:contextualSpacing/>
              <w:jc w:val="both"/>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где:</w:t>
            </w:r>
          </w:p>
          <w:p>
            <w:pPr>
              <w:widowControl w:val="0"/>
              <w:spacing w:after="0" w:line="240" w:lineRule="auto"/>
              <w:contextualSpacing/>
              <w:jc w:val="both"/>
              <w:rPr>
                <w:rFonts w:ascii="Times New Roman" w:eastAsia="Times New Roman" w:hAnsi="Times New Roman" w:cs="Times New Roman"/>
                <w:color w:val="000000"/>
                <w:szCs w:val="20"/>
                <w:lang w:eastAsia="ru-RU"/>
              </w:rPr>
            </w:pPr>
            <w:proofErr w:type="spellStart"/>
            <w:r>
              <w:rPr>
                <w:rFonts w:ascii="Times New Roman" w:eastAsia="Times New Roman" w:hAnsi="Times New Roman" w:cs="Times New Roman"/>
                <w:color w:val="000000"/>
                <w:szCs w:val="20"/>
                <w:lang w:eastAsia="ru-RU"/>
              </w:rPr>
              <w:t>Ц</w:t>
            </w:r>
            <w:r>
              <w:rPr>
                <w:rFonts w:ascii="Times New Roman" w:eastAsia="Times New Roman" w:hAnsi="Times New Roman" w:cs="Times New Roman"/>
                <w:color w:val="000000"/>
                <w:szCs w:val="20"/>
                <w:vertAlign w:val="subscript"/>
                <w:lang w:eastAsia="ru-RU"/>
              </w:rPr>
              <w:t>i</w:t>
            </w:r>
            <w:proofErr w:type="spellEnd"/>
            <w:r>
              <w:rPr>
                <w:rFonts w:ascii="Times New Roman" w:eastAsia="Times New Roman" w:hAnsi="Times New Roman" w:cs="Times New Roman"/>
                <w:color w:val="000000"/>
                <w:szCs w:val="20"/>
                <w:lang w:eastAsia="ru-RU"/>
              </w:rPr>
              <w:t xml:space="preserve"> - предложение участника закупки о цене контракта, или о сумме цен всех контрактов, заключаемых по результатам проведения совместного конкурса (</w:t>
            </w:r>
            <w:r>
              <w:rPr>
                <w:rFonts w:ascii="Times New Roman" w:eastAsia="Times New Roman" w:hAnsi="Times New Roman" w:cs="Times New Roman"/>
                <w:i/>
                <w:color w:val="000000"/>
                <w:szCs w:val="20"/>
                <w:lang w:eastAsia="ru-RU"/>
              </w:rPr>
              <w:t>в случае проведения совместного конкурса</w:t>
            </w:r>
            <w:r>
              <w:rPr>
                <w:rFonts w:ascii="Times New Roman" w:eastAsia="Times New Roman" w:hAnsi="Times New Roman" w:cs="Times New Roman"/>
                <w:color w:val="000000"/>
                <w:szCs w:val="20"/>
                <w:lang w:eastAsia="ru-RU"/>
              </w:rPr>
              <w:t xml:space="preserve">), или о сумме цен единиц товара, </w:t>
            </w:r>
            <w:r>
              <w:rPr>
                <w:rFonts w:ascii="Times New Roman" w:eastAsia="Times New Roman" w:hAnsi="Times New Roman" w:cs="Times New Roman"/>
                <w:color w:val="000000"/>
                <w:szCs w:val="20"/>
                <w:lang w:eastAsia="ru-RU"/>
              </w:rPr>
              <w:lastRenderedPageBreak/>
              <w:t>работы, услуги (</w:t>
            </w:r>
            <w:r>
              <w:rPr>
                <w:rFonts w:ascii="Times New Roman" w:eastAsia="Times New Roman" w:hAnsi="Times New Roman" w:cs="Times New Roman"/>
                <w:i/>
                <w:color w:val="000000"/>
                <w:szCs w:val="20"/>
                <w:lang w:eastAsia="ru-RU"/>
              </w:rPr>
              <w:t xml:space="preserve">в случае, предусмотренном </w:t>
            </w:r>
            <w:hyperlink r:id="rId10" w:history="1">
              <w:r>
                <w:rPr>
                  <w:rFonts w:ascii="Times New Roman" w:eastAsia="Times New Roman" w:hAnsi="Times New Roman" w:cs="Times New Roman"/>
                  <w:i/>
                  <w:color w:val="000000"/>
                  <w:szCs w:val="20"/>
                  <w:lang w:eastAsia="ru-RU"/>
                </w:rPr>
                <w:t>частью 24 статьи 22</w:t>
              </w:r>
            </w:hyperlink>
            <w:r>
              <w:rPr>
                <w:rFonts w:ascii="Times New Roman" w:eastAsia="Times New Roman" w:hAnsi="Times New Roman" w:cs="Times New Roman"/>
                <w:i/>
                <w:color w:val="000000"/>
                <w:szCs w:val="20"/>
                <w:lang w:eastAsia="ru-RU"/>
              </w:rPr>
              <w:t xml:space="preserve"> Закона о контрактной системе, в том числе при проведении в этом случае совместного конкурса</w:t>
            </w:r>
            <w:r>
              <w:rPr>
                <w:rFonts w:ascii="Times New Roman" w:eastAsia="Times New Roman" w:hAnsi="Times New Roman" w:cs="Times New Roman"/>
                <w:color w:val="000000"/>
                <w:szCs w:val="20"/>
                <w:lang w:eastAsia="ru-RU"/>
              </w:rPr>
              <w:t>), заявка (часть заявки) которого подлежит в соответствии с Законом о контрактной системе оценке по критерию оценки "цена контракта, сумма цен единиц товара, работы, услуги" (далее - ценовое предложение);</w:t>
            </w:r>
          </w:p>
          <w:p>
            <w:pPr>
              <w:widowControl w:val="0"/>
              <w:spacing w:after="0" w:line="240" w:lineRule="auto"/>
              <w:contextualSpacing/>
              <w:jc w:val="both"/>
              <w:rPr>
                <w:rFonts w:ascii="Times New Roman" w:eastAsia="Times New Roman" w:hAnsi="Times New Roman" w:cs="Times New Roman"/>
                <w:color w:val="000000"/>
                <w:szCs w:val="20"/>
                <w:lang w:eastAsia="ru-RU"/>
              </w:rPr>
            </w:pPr>
            <w:proofErr w:type="spellStart"/>
            <w:r>
              <w:rPr>
                <w:rFonts w:ascii="Times New Roman" w:eastAsia="Times New Roman" w:hAnsi="Times New Roman" w:cs="Times New Roman"/>
                <w:color w:val="000000"/>
                <w:szCs w:val="20"/>
                <w:lang w:eastAsia="ru-RU"/>
              </w:rPr>
              <w:t>Ц</w:t>
            </w:r>
            <w:r>
              <w:rPr>
                <w:rFonts w:ascii="Times New Roman" w:eastAsia="Times New Roman" w:hAnsi="Times New Roman" w:cs="Times New Roman"/>
                <w:color w:val="000000"/>
                <w:szCs w:val="20"/>
                <w:vertAlign w:val="subscript"/>
                <w:lang w:eastAsia="ru-RU"/>
              </w:rPr>
              <w:t>л</w:t>
            </w:r>
            <w:proofErr w:type="spellEnd"/>
            <w:r>
              <w:rPr>
                <w:rFonts w:ascii="Times New Roman" w:eastAsia="Times New Roman" w:hAnsi="Times New Roman" w:cs="Times New Roman"/>
                <w:color w:val="000000"/>
                <w:szCs w:val="20"/>
                <w:lang w:eastAsia="ru-RU"/>
              </w:rPr>
              <w:t xml:space="preserve"> - наилучшее ценовое предложение из числа предложенных в соответствии с Законом о контрактной системе участниками закупки, заявки (части заявки) которых подлежат оценке по критерию оценки "цена контракта, сумма цен единиц товара, работы, услуги";</w:t>
            </w:r>
          </w:p>
          <w:p>
            <w:pPr>
              <w:widowControl w:val="0"/>
              <w:spacing w:after="0" w:line="240" w:lineRule="auto"/>
              <w:contextualSpacing/>
              <w:jc w:val="both"/>
              <w:rPr>
                <w:rFonts w:ascii="Times New Roman" w:eastAsia="Times New Roman" w:hAnsi="Times New Roman" w:cs="Times New Roman"/>
                <w:color w:val="000000"/>
                <w:szCs w:val="20"/>
                <w:lang w:eastAsia="ru-RU"/>
              </w:rPr>
            </w:pPr>
            <w:bookmarkStart w:id="7" w:name="Par98"/>
            <w:bookmarkEnd w:id="7"/>
            <w:r>
              <w:rPr>
                <w:rFonts w:ascii="Times New Roman" w:eastAsia="Times New Roman" w:hAnsi="Times New Roman" w:cs="Times New Roman"/>
                <w:color w:val="000000"/>
                <w:szCs w:val="20"/>
                <w:lang w:eastAsia="ru-RU"/>
              </w:rPr>
              <w:t xml:space="preserve">б) в случае если по результатам применения формулы, предусмотренной </w:t>
            </w:r>
            <w:hyperlink r:id="rId11" w:anchor="Par90" w:tooltip="а) за исключением случаев, предусмотренных подпунктом " w:history="1">
              <w:r>
                <w:rPr>
                  <w:rFonts w:ascii="Times New Roman" w:eastAsia="Times New Roman" w:hAnsi="Times New Roman" w:cs="Times New Roman"/>
                  <w:color w:val="000000"/>
                  <w:szCs w:val="20"/>
                  <w:lang w:eastAsia="ru-RU"/>
                </w:rPr>
                <w:t>подпунктом "а"</w:t>
              </w:r>
            </w:hyperlink>
            <w:r>
              <w:rPr>
                <w:rFonts w:ascii="Times New Roman" w:eastAsia="Times New Roman" w:hAnsi="Times New Roman" w:cs="Times New Roman"/>
                <w:color w:val="000000"/>
                <w:szCs w:val="20"/>
                <w:lang w:eastAsia="ru-RU"/>
              </w:rPr>
              <w:t xml:space="preserve"> настоящего пункта, при оценке хотя бы одной заявки получено значение, являющееся отрицательным числом, значение количества баллов по критерию оценки "цена контракта, сумма цен единиц товара, работы, услуги" всем заявкам, подлежащим в соответствии с Законом о контрактной системе оценке по указанному критерию оценки (</w:t>
            </w:r>
            <w:proofErr w:type="spellStart"/>
            <w:r>
              <w:rPr>
                <w:rFonts w:ascii="Times New Roman" w:eastAsia="Times New Roman" w:hAnsi="Times New Roman" w:cs="Times New Roman"/>
                <w:color w:val="000000"/>
                <w:szCs w:val="20"/>
                <w:lang w:eastAsia="ru-RU"/>
              </w:rPr>
              <w:t>БЦ</w:t>
            </w:r>
            <w:r>
              <w:rPr>
                <w:rFonts w:ascii="Times New Roman" w:eastAsia="Times New Roman" w:hAnsi="Times New Roman" w:cs="Times New Roman"/>
                <w:color w:val="000000"/>
                <w:szCs w:val="20"/>
                <w:vertAlign w:val="subscript"/>
                <w:lang w:eastAsia="ru-RU"/>
              </w:rPr>
              <w:t>i</w:t>
            </w:r>
            <w:proofErr w:type="spellEnd"/>
            <w:r>
              <w:rPr>
                <w:rFonts w:ascii="Times New Roman" w:eastAsia="Times New Roman" w:hAnsi="Times New Roman" w:cs="Times New Roman"/>
                <w:color w:val="000000"/>
                <w:szCs w:val="20"/>
                <w:lang w:eastAsia="ru-RU"/>
              </w:rPr>
              <w:t>), определяется по формуле:</w:t>
            </w:r>
          </w:p>
          <w:p>
            <w:pPr>
              <w:widowControl w:val="0"/>
              <w:spacing w:after="0" w:line="240" w:lineRule="auto"/>
              <w:contextualSpacing/>
              <w:jc w:val="both"/>
              <w:rPr>
                <w:rFonts w:ascii="Times New Roman" w:eastAsia="Times New Roman" w:hAnsi="Times New Roman" w:cs="Times New Roman"/>
                <w:color w:val="000000"/>
                <w:szCs w:val="20"/>
                <w:lang w:eastAsia="ru-RU"/>
              </w:rPr>
            </w:pPr>
          </w:p>
          <w:p>
            <w:pPr>
              <w:widowControl w:val="0"/>
              <w:spacing w:after="0" w:line="240" w:lineRule="auto"/>
              <w:contextualSpacing/>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noProof/>
                <w:color w:val="000000"/>
                <w:szCs w:val="20"/>
                <w:lang w:eastAsia="ru-RU"/>
              </w:rPr>
              <w:drawing>
                <wp:inline distT="0" distB="0" distL="0" distR="0">
                  <wp:extent cx="1684020" cy="350520"/>
                  <wp:effectExtent l="0" t="0" r="0" b="0"/>
                  <wp:docPr id="6"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srcRect/>
                          <a:stretch/>
                        </pic:blipFill>
                        <pic:spPr>
                          <a:xfrm>
                            <a:off x="0" y="0"/>
                            <a:ext cx="1684020" cy="350520"/>
                          </a:xfrm>
                          <a:prstGeom prst="rect">
                            <a:avLst/>
                          </a:prstGeom>
                        </pic:spPr>
                      </pic:pic>
                    </a:graphicData>
                  </a:graphic>
                </wp:inline>
              </w:drawing>
            </w:r>
          </w:p>
          <w:p>
            <w:pPr>
              <w:widowControl w:val="0"/>
              <w:spacing w:after="0" w:line="240" w:lineRule="auto"/>
              <w:contextualSpacing/>
              <w:jc w:val="both"/>
              <w:rPr>
                <w:rFonts w:ascii="Times New Roman" w:eastAsia="Times New Roman" w:hAnsi="Times New Roman" w:cs="Times New Roman"/>
                <w:color w:val="000000"/>
                <w:szCs w:val="20"/>
                <w:lang w:eastAsia="ru-RU"/>
              </w:rPr>
            </w:pPr>
          </w:p>
          <w:p>
            <w:pPr>
              <w:widowControl w:val="0"/>
              <w:spacing w:after="0" w:line="240" w:lineRule="auto"/>
              <w:contextualSpacing/>
              <w:jc w:val="both"/>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 xml:space="preserve">где </w:t>
            </w:r>
            <w:proofErr w:type="spellStart"/>
            <w:r>
              <w:rPr>
                <w:rFonts w:ascii="Times New Roman" w:eastAsia="Times New Roman" w:hAnsi="Times New Roman" w:cs="Times New Roman"/>
                <w:color w:val="000000"/>
                <w:szCs w:val="20"/>
                <w:lang w:eastAsia="ru-RU"/>
              </w:rPr>
              <w:t>Ц</w:t>
            </w:r>
            <w:r>
              <w:rPr>
                <w:rFonts w:ascii="Times New Roman" w:eastAsia="Times New Roman" w:hAnsi="Times New Roman" w:cs="Times New Roman"/>
                <w:color w:val="000000"/>
                <w:szCs w:val="20"/>
                <w:vertAlign w:val="subscript"/>
                <w:lang w:eastAsia="ru-RU"/>
              </w:rPr>
              <w:t>нач</w:t>
            </w:r>
            <w:proofErr w:type="spellEnd"/>
            <w:r>
              <w:rPr>
                <w:rFonts w:ascii="Times New Roman" w:eastAsia="Times New Roman" w:hAnsi="Times New Roman" w:cs="Times New Roman"/>
                <w:color w:val="000000"/>
                <w:szCs w:val="20"/>
                <w:lang w:eastAsia="ru-RU"/>
              </w:rPr>
              <w:t xml:space="preserve"> - начальная (максимальная) цена контракта, или сумма начальных (максимальных) цен каждого контракта, заключаемого по результатам проведения совместного конкурса (</w:t>
            </w:r>
            <w:r>
              <w:rPr>
                <w:rFonts w:ascii="Times New Roman" w:eastAsia="Times New Roman" w:hAnsi="Times New Roman" w:cs="Times New Roman"/>
                <w:i/>
                <w:color w:val="000000"/>
                <w:szCs w:val="20"/>
                <w:lang w:eastAsia="ru-RU"/>
              </w:rPr>
              <w:t>в случае проведения совместного конкурса</w:t>
            </w:r>
            <w:r>
              <w:rPr>
                <w:rFonts w:ascii="Times New Roman" w:eastAsia="Times New Roman" w:hAnsi="Times New Roman" w:cs="Times New Roman"/>
                <w:color w:val="000000"/>
                <w:szCs w:val="20"/>
                <w:lang w:eastAsia="ru-RU"/>
              </w:rPr>
              <w:t>), или начальная сумма цен единиц товаров, работ, услуг (</w:t>
            </w:r>
            <w:r>
              <w:rPr>
                <w:rFonts w:ascii="Times New Roman" w:eastAsia="Times New Roman" w:hAnsi="Times New Roman" w:cs="Times New Roman"/>
                <w:i/>
                <w:color w:val="000000"/>
                <w:szCs w:val="20"/>
                <w:lang w:eastAsia="ru-RU"/>
              </w:rPr>
              <w:t xml:space="preserve">в случае, предусмотренном </w:t>
            </w:r>
            <w:hyperlink r:id="rId13" w:history="1">
              <w:r>
                <w:rPr>
                  <w:rFonts w:ascii="Times New Roman" w:eastAsia="Times New Roman" w:hAnsi="Times New Roman" w:cs="Times New Roman"/>
                  <w:i/>
                  <w:color w:val="000000"/>
                  <w:szCs w:val="20"/>
                  <w:lang w:eastAsia="ru-RU"/>
                </w:rPr>
                <w:t>частью 24 статьи 22</w:t>
              </w:r>
            </w:hyperlink>
            <w:r>
              <w:rPr>
                <w:rFonts w:ascii="Times New Roman" w:eastAsia="Times New Roman" w:hAnsi="Times New Roman" w:cs="Times New Roman"/>
                <w:i/>
                <w:color w:val="000000"/>
                <w:szCs w:val="20"/>
                <w:lang w:eastAsia="ru-RU"/>
              </w:rPr>
              <w:t xml:space="preserve"> Закона о контрактной системе, в том числе при проведении в таком случае совместного конкурса</w:t>
            </w:r>
            <w:r>
              <w:rPr>
                <w:rFonts w:ascii="Times New Roman" w:eastAsia="Times New Roman" w:hAnsi="Times New Roman" w:cs="Times New Roman"/>
                <w:color w:val="000000"/>
                <w:szCs w:val="20"/>
                <w:lang w:eastAsia="ru-RU"/>
              </w:rPr>
              <w:t>).</w:t>
            </w:r>
          </w:p>
          <w:p>
            <w:pPr>
              <w:widowControl w:val="0"/>
              <w:spacing w:after="0" w:line="240" w:lineRule="auto"/>
              <w:contextualSpacing/>
              <w:jc w:val="both"/>
              <w:rPr>
                <w:rFonts w:ascii="Times New Roman" w:eastAsia="Times New Roman" w:hAnsi="Times New Roman" w:cs="Times New Roman"/>
                <w:color w:val="000000"/>
                <w:szCs w:val="20"/>
                <w:lang w:eastAsia="ru-RU"/>
              </w:rPr>
            </w:pPr>
            <w:bookmarkStart w:id="8" w:name="Par104"/>
            <w:bookmarkEnd w:id="8"/>
            <w:r>
              <w:rPr>
                <w:rFonts w:ascii="Times New Roman" w:eastAsia="Times New Roman" w:hAnsi="Times New Roman" w:cs="Times New Roman"/>
                <w:color w:val="000000"/>
                <w:szCs w:val="20"/>
                <w:lang w:eastAsia="ru-RU"/>
              </w:rPr>
              <w:t>1.2. Если при проведении процедуры подачи предложений о цене контракта либо о сумме цен единиц товара, работы, услуги (</w:t>
            </w:r>
            <w:r>
              <w:rPr>
                <w:rFonts w:ascii="Times New Roman" w:eastAsia="Times New Roman" w:hAnsi="Times New Roman" w:cs="Times New Roman"/>
                <w:i/>
                <w:color w:val="000000"/>
                <w:szCs w:val="20"/>
                <w:lang w:eastAsia="ru-RU"/>
              </w:rPr>
              <w:t xml:space="preserve">в случае, предусмотренном </w:t>
            </w:r>
            <w:hyperlink r:id="rId14" w:history="1">
              <w:r>
                <w:rPr>
                  <w:rFonts w:ascii="Times New Roman" w:eastAsia="Times New Roman" w:hAnsi="Times New Roman" w:cs="Times New Roman"/>
                  <w:i/>
                  <w:color w:val="000000"/>
                  <w:szCs w:val="20"/>
                  <w:lang w:eastAsia="ru-RU"/>
                </w:rPr>
                <w:t>частью 24 статьи 22</w:t>
              </w:r>
            </w:hyperlink>
            <w:r>
              <w:rPr>
                <w:rFonts w:ascii="Times New Roman" w:eastAsia="Times New Roman" w:hAnsi="Times New Roman" w:cs="Times New Roman"/>
                <w:i/>
                <w:color w:val="000000"/>
                <w:szCs w:val="20"/>
                <w:lang w:eastAsia="ru-RU"/>
              </w:rPr>
              <w:t xml:space="preserve"> Закона о контрактной системе</w:t>
            </w:r>
            <w:r>
              <w:rPr>
                <w:rFonts w:ascii="Times New Roman" w:eastAsia="Times New Roman" w:hAnsi="Times New Roman" w:cs="Times New Roman"/>
                <w:color w:val="000000"/>
                <w:szCs w:val="20"/>
                <w:lang w:eastAsia="ru-RU"/>
              </w:rPr>
              <w:t>) в соответствии с Законом о контрактной системе подано ценовое предложение, предусматривающее снижение таких цены контракта либо суммы цен ниже нуля, значение количества баллов по критерию оценки "цена контракта, сумма цен единиц товара, работы, услуги" (</w:t>
            </w:r>
            <w:proofErr w:type="spellStart"/>
            <w:r>
              <w:rPr>
                <w:rFonts w:ascii="Times New Roman" w:eastAsia="Times New Roman" w:hAnsi="Times New Roman" w:cs="Times New Roman"/>
                <w:color w:val="000000"/>
                <w:szCs w:val="20"/>
                <w:lang w:eastAsia="ru-RU"/>
              </w:rPr>
              <w:t>БЦ</w:t>
            </w:r>
            <w:r>
              <w:rPr>
                <w:rFonts w:ascii="Times New Roman" w:eastAsia="Times New Roman" w:hAnsi="Times New Roman" w:cs="Times New Roman"/>
                <w:color w:val="000000"/>
                <w:szCs w:val="20"/>
                <w:vertAlign w:val="subscript"/>
                <w:lang w:eastAsia="ru-RU"/>
              </w:rPr>
              <w:t>i</w:t>
            </w:r>
            <w:proofErr w:type="spellEnd"/>
            <w:r>
              <w:rPr>
                <w:rFonts w:ascii="Times New Roman" w:eastAsia="Times New Roman" w:hAnsi="Times New Roman" w:cs="Times New Roman"/>
                <w:color w:val="000000"/>
                <w:szCs w:val="20"/>
                <w:lang w:eastAsia="ru-RU"/>
              </w:rPr>
              <w:t>) определяется в следующем порядке:</w:t>
            </w:r>
          </w:p>
          <w:p>
            <w:pPr>
              <w:widowControl w:val="0"/>
              <w:spacing w:after="0" w:line="240" w:lineRule="auto"/>
              <w:contextualSpacing/>
              <w:jc w:val="both"/>
              <w:rPr>
                <w:rFonts w:ascii="Times New Roman" w:eastAsia="Times New Roman" w:hAnsi="Times New Roman" w:cs="Times New Roman"/>
                <w:color w:val="000000"/>
                <w:szCs w:val="20"/>
                <w:lang w:eastAsia="ru-RU"/>
              </w:rPr>
            </w:pPr>
            <w:bookmarkStart w:id="9" w:name="Par105"/>
            <w:bookmarkEnd w:id="9"/>
            <w:r>
              <w:rPr>
                <w:rFonts w:ascii="Times New Roman" w:eastAsia="Times New Roman" w:hAnsi="Times New Roman" w:cs="Times New Roman"/>
                <w:color w:val="000000"/>
                <w:szCs w:val="20"/>
                <w:lang w:eastAsia="ru-RU"/>
              </w:rPr>
              <w:lastRenderedPageBreak/>
              <w:t>а) для подлежащей в соответствии с Законом о контрактной системе оценке заявки участника закупки, ценовое предложение которого не предусматривает снижение цены контракта либо суммы цен ниже нуля, по критерию оценки "цена контракта, сумма цен единиц товара, работы, услуги" значение количества баллов по указанному критерию оценки (</w:t>
            </w:r>
            <w:proofErr w:type="spellStart"/>
            <w:r>
              <w:rPr>
                <w:rFonts w:ascii="Times New Roman" w:eastAsia="Times New Roman" w:hAnsi="Times New Roman" w:cs="Times New Roman"/>
                <w:color w:val="000000"/>
                <w:szCs w:val="20"/>
                <w:lang w:eastAsia="ru-RU"/>
              </w:rPr>
              <w:t>БЦ</w:t>
            </w:r>
            <w:r>
              <w:rPr>
                <w:rFonts w:ascii="Times New Roman" w:eastAsia="Times New Roman" w:hAnsi="Times New Roman" w:cs="Times New Roman"/>
                <w:color w:val="000000"/>
                <w:szCs w:val="20"/>
                <w:vertAlign w:val="subscript"/>
                <w:lang w:eastAsia="ru-RU"/>
              </w:rPr>
              <w:t>i</w:t>
            </w:r>
            <w:proofErr w:type="spellEnd"/>
            <w:r>
              <w:rPr>
                <w:rFonts w:ascii="Times New Roman" w:eastAsia="Times New Roman" w:hAnsi="Times New Roman" w:cs="Times New Roman"/>
                <w:color w:val="000000"/>
                <w:szCs w:val="20"/>
                <w:lang w:eastAsia="ru-RU"/>
              </w:rPr>
              <w:t>) определяется по формуле:</w:t>
            </w:r>
          </w:p>
          <w:p>
            <w:pPr>
              <w:widowControl w:val="0"/>
              <w:spacing w:after="0" w:line="240" w:lineRule="auto"/>
              <w:contextualSpacing/>
              <w:jc w:val="both"/>
              <w:rPr>
                <w:rFonts w:ascii="Times New Roman" w:eastAsia="Times New Roman" w:hAnsi="Times New Roman" w:cs="Times New Roman"/>
                <w:color w:val="000000"/>
                <w:szCs w:val="20"/>
                <w:lang w:eastAsia="ru-RU"/>
              </w:rPr>
            </w:pPr>
          </w:p>
          <w:p>
            <w:pPr>
              <w:widowControl w:val="0"/>
              <w:spacing w:after="0" w:line="240" w:lineRule="auto"/>
              <w:contextualSpacing/>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noProof/>
                <w:color w:val="000000"/>
                <w:szCs w:val="20"/>
                <w:lang w:eastAsia="ru-RU"/>
              </w:rPr>
              <w:drawing>
                <wp:inline distT="0" distB="0" distL="0" distR="0">
                  <wp:extent cx="1859279" cy="426719"/>
                  <wp:effectExtent l="0" t="0" r="0" b="0"/>
                  <wp:docPr id="7" name="Picture 6"/>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a:srcRect/>
                          <a:stretch/>
                        </pic:blipFill>
                        <pic:spPr>
                          <a:xfrm>
                            <a:off x="0" y="0"/>
                            <a:ext cx="1859279" cy="426719"/>
                          </a:xfrm>
                          <a:prstGeom prst="rect">
                            <a:avLst/>
                          </a:prstGeom>
                        </pic:spPr>
                      </pic:pic>
                    </a:graphicData>
                  </a:graphic>
                </wp:inline>
              </w:drawing>
            </w:r>
          </w:p>
          <w:p>
            <w:pPr>
              <w:widowControl w:val="0"/>
              <w:spacing w:after="0" w:line="240" w:lineRule="auto"/>
              <w:contextualSpacing/>
              <w:jc w:val="both"/>
              <w:rPr>
                <w:rFonts w:ascii="Times New Roman" w:eastAsia="Times New Roman" w:hAnsi="Times New Roman" w:cs="Times New Roman"/>
                <w:color w:val="000000"/>
                <w:szCs w:val="20"/>
                <w:lang w:eastAsia="ru-RU"/>
              </w:rPr>
            </w:pPr>
          </w:p>
          <w:p>
            <w:pPr>
              <w:widowControl w:val="0"/>
              <w:spacing w:after="0" w:line="240" w:lineRule="auto"/>
              <w:contextualSpacing/>
              <w:jc w:val="both"/>
              <w:rPr>
                <w:rFonts w:ascii="Times New Roman" w:eastAsia="Times New Roman" w:hAnsi="Times New Roman" w:cs="Times New Roman"/>
                <w:color w:val="000000"/>
                <w:szCs w:val="20"/>
                <w:lang w:eastAsia="ru-RU"/>
              </w:rPr>
            </w:pPr>
            <w:bookmarkStart w:id="10" w:name="Par111"/>
            <w:bookmarkEnd w:id="10"/>
            <w:r>
              <w:rPr>
                <w:rFonts w:ascii="Times New Roman" w:eastAsia="Times New Roman" w:hAnsi="Times New Roman" w:cs="Times New Roman"/>
                <w:color w:val="000000"/>
                <w:szCs w:val="20"/>
                <w:lang w:eastAsia="ru-RU"/>
              </w:rPr>
              <w:t>б) для подлежащей в соответствии с Законом о контрактной системе оценке заявки участника закупки, ценовое предложение которого предусматривает снижение цены контракта либо суммы цен ниже нуля, по критерию оценки "цена контракта, сумма цен единиц товара, работы, услуги" значение количества баллов по указанному критерию оценки (</w:t>
            </w:r>
            <w:proofErr w:type="spellStart"/>
            <w:r>
              <w:rPr>
                <w:rFonts w:ascii="Times New Roman" w:eastAsia="Times New Roman" w:hAnsi="Times New Roman" w:cs="Times New Roman"/>
                <w:color w:val="000000"/>
                <w:szCs w:val="20"/>
                <w:lang w:eastAsia="ru-RU"/>
              </w:rPr>
              <w:t>БЦ</w:t>
            </w:r>
            <w:r>
              <w:rPr>
                <w:rFonts w:ascii="Times New Roman" w:eastAsia="Times New Roman" w:hAnsi="Times New Roman" w:cs="Times New Roman"/>
                <w:color w:val="000000"/>
                <w:szCs w:val="20"/>
                <w:vertAlign w:val="subscript"/>
                <w:lang w:eastAsia="ru-RU"/>
              </w:rPr>
              <w:t>i</w:t>
            </w:r>
            <w:proofErr w:type="spellEnd"/>
            <w:r>
              <w:rPr>
                <w:rFonts w:ascii="Times New Roman" w:eastAsia="Times New Roman" w:hAnsi="Times New Roman" w:cs="Times New Roman"/>
                <w:color w:val="000000"/>
                <w:szCs w:val="20"/>
                <w:lang w:eastAsia="ru-RU"/>
              </w:rPr>
              <w:t>) определяется по формуле:</w:t>
            </w:r>
          </w:p>
          <w:p>
            <w:pPr>
              <w:widowControl w:val="0"/>
              <w:spacing w:after="0" w:line="240" w:lineRule="auto"/>
              <w:contextualSpacing/>
              <w:jc w:val="both"/>
              <w:rPr>
                <w:rFonts w:ascii="Times New Roman" w:eastAsia="Times New Roman" w:hAnsi="Times New Roman" w:cs="Times New Roman"/>
                <w:color w:val="000000"/>
                <w:szCs w:val="20"/>
                <w:lang w:eastAsia="ru-RU"/>
              </w:rPr>
            </w:pPr>
          </w:p>
          <w:p>
            <w:pPr>
              <w:widowControl w:val="0"/>
              <w:spacing w:after="0" w:line="240" w:lineRule="auto"/>
              <w:contextualSpacing/>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noProof/>
                <w:color w:val="000000"/>
                <w:szCs w:val="20"/>
                <w:lang w:eastAsia="ru-RU"/>
              </w:rPr>
              <w:drawing>
                <wp:inline distT="0" distB="0" distL="0" distR="0">
                  <wp:extent cx="1562100" cy="411480"/>
                  <wp:effectExtent l="0" t="0" r="0" b="0"/>
                  <wp:docPr id="14" name="Picture 8"/>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a:srcRect/>
                          <a:stretch/>
                        </pic:blipFill>
                        <pic:spPr>
                          <a:xfrm>
                            <a:off x="0" y="0"/>
                            <a:ext cx="1562100" cy="411480"/>
                          </a:xfrm>
                          <a:prstGeom prst="rect">
                            <a:avLst/>
                          </a:prstGeom>
                        </pic:spPr>
                      </pic:pic>
                    </a:graphicData>
                  </a:graphic>
                </wp:inline>
              </w:drawing>
            </w:r>
          </w:p>
          <w:p>
            <w:pPr>
              <w:widowControl w:val="0"/>
              <w:spacing w:after="0" w:line="240" w:lineRule="auto"/>
              <w:contextualSpacing/>
              <w:jc w:val="both"/>
              <w:rPr>
                <w:rFonts w:ascii="Times New Roman" w:eastAsia="Times New Roman" w:hAnsi="Times New Roman" w:cs="Times New Roman"/>
                <w:color w:val="000000"/>
                <w:szCs w:val="20"/>
                <w:lang w:eastAsia="ru-RU"/>
              </w:rPr>
            </w:pPr>
          </w:p>
          <w:p>
            <w:pPr>
              <w:widowControl w:val="0"/>
              <w:spacing w:after="0" w:line="240" w:lineRule="auto"/>
              <w:contextualSpacing/>
              <w:jc w:val="both"/>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1.3. Оценка заявок по критерию оценки "цена контракта, сумма цен единиц товара, работы, услуги" осуществляется в соответствии со следующими требованиями:</w:t>
            </w:r>
          </w:p>
          <w:p>
            <w:pPr>
              <w:widowControl w:val="0"/>
              <w:spacing w:after="0" w:line="240" w:lineRule="auto"/>
              <w:contextualSpacing/>
              <w:jc w:val="both"/>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а) заявкам, содержащим наилучшее ценовое предложение, а также предложение, равное такому наилучшему ценовому предложению, присваивается 100 баллов;</w:t>
            </w:r>
          </w:p>
          <w:p>
            <w:pPr>
              <w:widowControl w:val="0"/>
              <w:spacing w:after="0" w:line="240" w:lineRule="auto"/>
              <w:contextualSpacing/>
              <w:jc w:val="both"/>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 xml:space="preserve">б) значение </w:t>
            </w:r>
            <w:proofErr w:type="spellStart"/>
            <w:r>
              <w:rPr>
                <w:rFonts w:ascii="Times New Roman" w:eastAsia="Times New Roman" w:hAnsi="Times New Roman" w:cs="Times New Roman"/>
                <w:color w:val="000000"/>
                <w:szCs w:val="20"/>
                <w:lang w:eastAsia="ru-RU"/>
              </w:rPr>
              <w:t>Ц</w:t>
            </w:r>
            <w:r>
              <w:rPr>
                <w:rFonts w:ascii="Times New Roman" w:eastAsia="Times New Roman" w:hAnsi="Times New Roman" w:cs="Times New Roman"/>
                <w:color w:val="000000"/>
                <w:szCs w:val="20"/>
                <w:vertAlign w:val="subscript"/>
                <w:lang w:eastAsia="ru-RU"/>
              </w:rPr>
              <w:t>л</w:t>
            </w:r>
            <w:proofErr w:type="spellEnd"/>
            <w:r>
              <w:rPr>
                <w:rFonts w:ascii="Times New Roman" w:eastAsia="Times New Roman" w:hAnsi="Times New Roman" w:cs="Times New Roman"/>
                <w:color w:val="000000"/>
                <w:szCs w:val="20"/>
                <w:lang w:eastAsia="ru-RU"/>
              </w:rPr>
              <w:t xml:space="preserve"> при применении формулы, предусмотренной </w:t>
            </w:r>
            <w:hyperlink r:id="rId17" w:anchor="Par105" w:tooltip="а) для подлежащей в соответствии с Федеральным законом оценке заявки участника закупки, ценовое предложение которого не предусматривает снижение цены контракта либо суммы цен ниже нуля, по критерию оценки " w:history="1">
              <w:r>
                <w:rPr>
                  <w:rFonts w:ascii="Times New Roman" w:eastAsia="Times New Roman" w:hAnsi="Times New Roman" w:cs="Times New Roman"/>
                  <w:color w:val="000000"/>
                  <w:szCs w:val="20"/>
                  <w:lang w:eastAsia="ru-RU"/>
                </w:rPr>
                <w:t xml:space="preserve">подпунктом "а" пункта </w:t>
              </w:r>
            </w:hyperlink>
            <w:r>
              <w:rPr>
                <w:rFonts w:ascii="Times New Roman" w:eastAsia="Times New Roman" w:hAnsi="Times New Roman" w:cs="Times New Roman"/>
                <w:color w:val="000000"/>
                <w:szCs w:val="20"/>
                <w:lang w:eastAsia="ru-RU"/>
              </w:rPr>
              <w:t xml:space="preserve">1.2, и значения </w:t>
            </w:r>
            <w:proofErr w:type="spellStart"/>
            <w:r>
              <w:rPr>
                <w:rFonts w:ascii="Times New Roman" w:eastAsia="Times New Roman" w:hAnsi="Times New Roman" w:cs="Times New Roman"/>
                <w:color w:val="000000"/>
                <w:szCs w:val="20"/>
                <w:lang w:eastAsia="ru-RU"/>
              </w:rPr>
              <w:t>Ц</w:t>
            </w:r>
            <w:r>
              <w:rPr>
                <w:rFonts w:ascii="Times New Roman" w:eastAsia="Times New Roman" w:hAnsi="Times New Roman" w:cs="Times New Roman"/>
                <w:color w:val="000000"/>
                <w:szCs w:val="20"/>
                <w:vertAlign w:val="subscript"/>
                <w:lang w:eastAsia="ru-RU"/>
              </w:rPr>
              <w:t>л</w:t>
            </w:r>
            <w:proofErr w:type="spellEnd"/>
            <w:r>
              <w:rPr>
                <w:rFonts w:ascii="Times New Roman" w:eastAsia="Times New Roman" w:hAnsi="Times New Roman" w:cs="Times New Roman"/>
                <w:color w:val="000000"/>
                <w:szCs w:val="20"/>
                <w:lang w:eastAsia="ru-RU"/>
              </w:rPr>
              <w:t xml:space="preserve"> и </w:t>
            </w:r>
            <w:proofErr w:type="spellStart"/>
            <w:r>
              <w:rPr>
                <w:rFonts w:ascii="Times New Roman" w:eastAsia="Times New Roman" w:hAnsi="Times New Roman" w:cs="Times New Roman"/>
                <w:color w:val="000000"/>
                <w:szCs w:val="20"/>
                <w:lang w:eastAsia="ru-RU"/>
              </w:rPr>
              <w:t>Ц</w:t>
            </w:r>
            <w:r>
              <w:rPr>
                <w:rFonts w:ascii="Times New Roman" w:eastAsia="Times New Roman" w:hAnsi="Times New Roman" w:cs="Times New Roman"/>
                <w:color w:val="000000"/>
                <w:szCs w:val="20"/>
                <w:vertAlign w:val="subscript"/>
                <w:lang w:eastAsia="ru-RU"/>
              </w:rPr>
              <w:t>i</w:t>
            </w:r>
            <w:proofErr w:type="spellEnd"/>
            <w:r>
              <w:rPr>
                <w:rFonts w:ascii="Times New Roman" w:eastAsia="Times New Roman" w:hAnsi="Times New Roman" w:cs="Times New Roman"/>
                <w:color w:val="000000"/>
                <w:szCs w:val="20"/>
                <w:lang w:eastAsia="ru-RU"/>
              </w:rPr>
              <w:t xml:space="preserve"> при применении формулы, предусмотренной </w:t>
            </w:r>
            <w:hyperlink r:id="rId18" w:anchor="Par111" w:tooltip="б) для подлежащей в соответствии с Федеральным законом оценке заявки участника закупки, ценовое предложение которого предусматривает снижение цены контракта либо суммы цен ниже нуля, по критерию оценки " w:history="1">
              <w:r>
                <w:rPr>
                  <w:rFonts w:ascii="Times New Roman" w:eastAsia="Times New Roman" w:hAnsi="Times New Roman" w:cs="Times New Roman"/>
                  <w:color w:val="000000"/>
                  <w:szCs w:val="20"/>
                  <w:lang w:eastAsia="ru-RU"/>
                </w:rPr>
                <w:t>подпунктом "б" пункта 1.2</w:t>
              </w:r>
            </w:hyperlink>
            <w:r>
              <w:rPr>
                <w:rFonts w:ascii="Times New Roman" w:eastAsia="Times New Roman" w:hAnsi="Times New Roman" w:cs="Times New Roman"/>
                <w:color w:val="000000"/>
                <w:szCs w:val="20"/>
                <w:lang w:eastAsia="ru-RU"/>
              </w:rPr>
              <w:t>, указываются без знака "минус";</w:t>
            </w:r>
          </w:p>
          <w:p>
            <w:pPr>
              <w:widowControl w:val="0"/>
              <w:spacing w:after="0" w:line="240" w:lineRule="auto"/>
              <w:contextualSpacing/>
              <w:jc w:val="both"/>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в) применение показателей оценки по критерию оценки "цена контракта, сумма цен единиц товара, работы, услуги" не допускается.</w:t>
            </w:r>
          </w:p>
        </w:tc>
      </w:tr>
      <w:tr>
        <w:trPr>
          <w:trHeight w:val="305"/>
        </w:trPr>
        <w:tc>
          <w:tcPr>
            <w:tcW w:w="70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lastRenderedPageBreak/>
              <w:t>2.</w:t>
            </w:r>
          </w:p>
        </w:tc>
        <w:tc>
          <w:tcPr>
            <w:tcW w:w="1776"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 xml:space="preserve">Квалификация участников закупки, в том </w:t>
            </w:r>
            <w:r>
              <w:rPr>
                <w:rFonts w:ascii="Times New Roman" w:eastAsia="Times New Roman" w:hAnsi="Times New Roman" w:cs="Times New Roman"/>
                <w:color w:val="000000"/>
                <w:szCs w:val="20"/>
                <w:lang w:eastAsia="ru-RU"/>
              </w:rPr>
              <w:lastRenderedPageBreak/>
              <w:t>числе наличие у них финансовых ресурсов, оборудования и других материальных ресурсов на праве собственности или ином законном основании, опыта работы, связанного с предметом контракта, и деловой репутации, специалистов и иных работников определенного уровня квалификации</w:t>
            </w:r>
          </w:p>
        </w:tc>
        <w:tc>
          <w:tcPr>
            <w:tcW w:w="992"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lastRenderedPageBreak/>
              <w:t xml:space="preserve">40 % </w:t>
            </w:r>
          </w:p>
        </w:tc>
        <w:tc>
          <w:tcPr>
            <w:tcW w:w="1276"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 xml:space="preserve">наличие у участников закупки </w:t>
            </w:r>
            <w:r>
              <w:rPr>
                <w:rFonts w:ascii="Times New Roman" w:eastAsia="Times New Roman" w:hAnsi="Times New Roman" w:cs="Times New Roman"/>
                <w:color w:val="000000"/>
                <w:szCs w:val="20"/>
                <w:lang w:eastAsia="ru-RU"/>
              </w:rPr>
              <w:lastRenderedPageBreak/>
              <w:t>опыта работы, связанного с предметом контракта</w:t>
            </w:r>
          </w:p>
        </w:tc>
        <w:tc>
          <w:tcPr>
            <w:tcW w:w="10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lastRenderedPageBreak/>
              <w:t xml:space="preserve">100% </w:t>
            </w:r>
          </w:p>
        </w:tc>
        <w:tc>
          <w:tcPr>
            <w:tcW w:w="1418"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характеристика квалификаци</w:t>
            </w:r>
            <w:r>
              <w:rPr>
                <w:rFonts w:ascii="Times New Roman" w:eastAsia="Times New Roman" w:hAnsi="Times New Roman" w:cs="Times New Roman"/>
                <w:color w:val="000000"/>
                <w:szCs w:val="20"/>
                <w:lang w:eastAsia="ru-RU"/>
              </w:rPr>
              <w:lastRenderedPageBreak/>
              <w:t>и участников закупки N 1 (наибольшая цена одного из исполненных участником закупки договоров)</w:t>
            </w:r>
          </w:p>
        </w:tc>
        <w:tc>
          <w:tcPr>
            <w:tcW w:w="1343"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lastRenderedPageBreak/>
              <w:t xml:space="preserve">100 % </w:t>
            </w:r>
          </w:p>
        </w:tc>
        <w:tc>
          <w:tcPr>
            <w:tcW w:w="7304"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52" w:lineRule="auto"/>
              <w:jc w:val="both"/>
              <w:rPr>
                <w:rFonts w:ascii="Times New Roman" w:eastAsia="Times New Roman" w:hAnsi="Times New Roman" w:cs="Times New Roman"/>
                <w:lang w:eastAsia="ru-RU"/>
              </w:rPr>
            </w:pPr>
            <w:r>
              <w:rPr>
                <w:rFonts w:ascii="Times New Roman" w:eastAsia="Calibri" w:hAnsi="Times New Roman" w:cs="Times New Roman"/>
                <w:lang w:eastAsia="ru-RU"/>
              </w:rPr>
              <w:t xml:space="preserve">Лучшим является наибольшее значение </w:t>
            </w:r>
            <w:r>
              <w:rPr>
                <w:rFonts w:ascii="Times New Roman" w:eastAsia="Times New Roman" w:hAnsi="Times New Roman" w:cs="Times New Roman"/>
                <w:lang w:eastAsia="ru-RU"/>
              </w:rPr>
              <w:t>характеристики квалификации участников закупки N 1 (</w:t>
            </w:r>
            <w:r>
              <w:rPr>
                <w:rFonts w:ascii="Times New Roman" w:eastAsia="Times New Roman" w:hAnsi="Times New Roman" w:cs="Times New Roman"/>
                <w:color w:val="000000"/>
                <w:szCs w:val="20"/>
                <w:lang w:eastAsia="ru-RU"/>
              </w:rPr>
              <w:t xml:space="preserve">наибольшая цена одного из исполненных </w:t>
            </w:r>
            <w:r>
              <w:rPr>
                <w:rFonts w:ascii="Times New Roman" w:eastAsia="Times New Roman" w:hAnsi="Times New Roman" w:cs="Times New Roman"/>
                <w:color w:val="000000"/>
                <w:szCs w:val="20"/>
                <w:lang w:eastAsia="ru-RU"/>
              </w:rPr>
              <w:lastRenderedPageBreak/>
              <w:t>участником закупки договоров</w:t>
            </w:r>
            <w:r>
              <w:rPr>
                <w:rFonts w:ascii="Times New Roman" w:eastAsia="Times New Roman" w:hAnsi="Times New Roman" w:cs="Times New Roman"/>
                <w:lang w:eastAsia="ru-RU"/>
              </w:rPr>
              <w:t>) показателя «наличие у участников закупки опыта работы, связанного с предметом контракта»</w:t>
            </w:r>
            <w:r>
              <w:rPr>
                <w:rFonts w:ascii="Times New Roman" w:eastAsia="Calibri" w:hAnsi="Times New Roman" w:cs="Times New Roman"/>
                <w:lang w:eastAsia="ru-RU"/>
              </w:rPr>
              <w:t xml:space="preserve"> и установлено предельное максимальное значение (</w:t>
            </w:r>
            <w:r>
              <w:rPr>
                <w:rFonts w:ascii="Times New Roman" w:eastAsia="Calibri" w:hAnsi="Times New Roman" w:cs="Times New Roman"/>
                <w:noProof/>
                <w:position w:val="-10"/>
                <w:lang w:eastAsia="ru-RU"/>
              </w:rPr>
              <w:drawing>
                <wp:inline distT="0" distB="0" distL="0" distR="0">
                  <wp:extent cx="409575" cy="28575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9575" cy="285750"/>
                          </a:xfrm>
                          <a:prstGeom prst="rect">
                            <a:avLst/>
                          </a:prstGeom>
                          <a:noFill/>
                          <a:ln>
                            <a:noFill/>
                          </a:ln>
                        </pic:spPr>
                      </pic:pic>
                    </a:graphicData>
                  </a:graphic>
                </wp:inline>
              </w:drawing>
            </w:r>
            <w:r>
              <w:rPr>
                <w:rFonts w:ascii="Times New Roman" w:eastAsia="Calibri" w:hAnsi="Times New Roman" w:cs="Times New Roman"/>
                <w:lang w:eastAsia="ru-RU"/>
              </w:rPr>
              <w:t xml:space="preserve">) </w:t>
            </w:r>
            <w:r>
              <w:rPr>
                <w:rFonts w:ascii="Times New Roman" w:eastAsia="Times New Roman" w:hAnsi="Times New Roman" w:cs="Times New Roman"/>
                <w:lang w:eastAsia="ru-RU"/>
              </w:rPr>
              <w:t>характеристики квалификации участников закупки N 1, - по формуле, предусмотренной подпунктом «е» пункта 20 Положения: </w:t>
            </w:r>
          </w:p>
          <w:p>
            <w:pPr>
              <w:shd w:val="clear" w:color="auto" w:fill="FFFFFF"/>
              <w:spacing w:after="300" w:line="240" w:lineRule="auto"/>
              <w:ind w:firstLine="680"/>
              <w:jc w:val="center"/>
              <w:rPr>
                <w:rFonts w:ascii="Times New Roman" w:eastAsia="Times New Roman" w:hAnsi="Times New Roman" w:cs="Times New Roman"/>
                <w:lang w:eastAsia="ru-RU"/>
              </w:rPr>
            </w:pPr>
            <w:r>
              <w:rPr>
                <w:rFonts w:ascii="Times New Roman" w:eastAsia="Times New Roman" w:hAnsi="Times New Roman" w:cs="Times New Roman"/>
                <w:noProof/>
                <w:lang w:eastAsia="ru-RU"/>
              </w:rPr>
              <w:drawing>
                <wp:inline distT="0" distB="0" distL="0" distR="0">
                  <wp:extent cx="1699260" cy="472440"/>
                  <wp:effectExtent l="0" t="0" r="0" b="0"/>
                  <wp:docPr id="16" name="Рисунок 16" descr="https://base.garant.ru/files/base/403337669/4079860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base.garant.ru/files/base/403337669/407986038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99260" cy="472440"/>
                          </a:xfrm>
                          <a:prstGeom prst="rect">
                            <a:avLst/>
                          </a:prstGeom>
                          <a:noFill/>
                          <a:ln>
                            <a:noFill/>
                          </a:ln>
                        </pic:spPr>
                      </pic:pic>
                    </a:graphicData>
                  </a:graphic>
                </wp:inline>
              </w:drawing>
            </w:r>
            <w:r>
              <w:rPr>
                <w:rFonts w:ascii="Times New Roman" w:eastAsia="Times New Roman" w:hAnsi="Times New Roman" w:cs="Times New Roman"/>
                <w:lang w:eastAsia="ru-RU"/>
              </w:rPr>
              <w:t>; где:</w:t>
            </w:r>
          </w:p>
          <w:p>
            <w:pPr>
              <w:spacing w:after="0" w:line="240" w:lineRule="auto"/>
              <w:jc w:val="both"/>
              <w:rPr>
                <w:rFonts w:ascii="Times New Roman" w:eastAsia="Times New Roman" w:hAnsi="Times New Roman" w:cs="Times New Roman"/>
                <w:lang w:eastAsia="ru-RU"/>
              </w:rPr>
            </w:pPr>
            <w:proofErr w:type="spellStart"/>
            <w:r>
              <w:rPr>
                <w:rFonts w:ascii="Times New Roman" w:eastAsia="Times New Roman" w:hAnsi="Times New Roman" w:cs="Times New Roman"/>
                <w:lang w:eastAsia="ru-RU"/>
              </w:rPr>
              <w:t>Хi</w:t>
            </w:r>
            <w:proofErr w:type="spellEnd"/>
            <w:r>
              <w:rPr>
                <w:rFonts w:ascii="Times New Roman" w:eastAsia="Times New Roman" w:hAnsi="Times New Roman" w:cs="Times New Roman"/>
                <w:lang w:eastAsia="ru-RU"/>
              </w:rPr>
              <w:t xml:space="preserve"> - значение характеристики квалификации участников закупки N 1, содержащееся в предложении участника закупки, заявка (часть заявки) которого подлежит в соответствии с Законом о контрактной системе оценке по характеристике квалификации участников закупки N 1 (наибольшая цена одного из исполненных участником закупки договоров) показателя «наличие у участников закупки опыта работы, связанного с предметом контракта»; </w:t>
            </w:r>
          </w:p>
          <w:p>
            <w:pPr>
              <w:widowControl w:val="0"/>
              <w:autoSpaceDE w:val="0"/>
              <w:autoSpaceDN w:val="0"/>
              <w:adjustRightInd w:val="0"/>
              <w:spacing w:after="0" w:line="240" w:lineRule="auto"/>
              <w:jc w:val="both"/>
              <w:rPr>
                <w:rFonts w:ascii="Times New Roman" w:eastAsia="Times New Roman" w:hAnsi="Times New Roman" w:cs="Times New Roman"/>
                <w:lang w:eastAsia="ru-RU"/>
              </w:rPr>
            </w:pPr>
            <w:proofErr w:type="spellStart"/>
            <w:r>
              <w:rPr>
                <w:rFonts w:ascii="Times New Roman" w:eastAsia="Times New Roman" w:hAnsi="Times New Roman" w:cs="Times New Roman"/>
                <w:lang w:eastAsia="ru-RU"/>
              </w:rPr>
              <w:t>Х</w:t>
            </w:r>
            <w:r>
              <w:rPr>
                <w:rFonts w:ascii="Times New Roman" w:eastAsia="Times New Roman" w:hAnsi="Times New Roman" w:cs="Times New Roman"/>
                <w:vertAlign w:val="subscript"/>
                <w:lang w:eastAsia="ru-RU"/>
              </w:rPr>
              <w:t>m</w:t>
            </w:r>
            <w:proofErr w:type="spellEnd"/>
            <w:r>
              <w:rPr>
                <w:rFonts w:ascii="Times New Roman" w:eastAsia="Times New Roman" w:hAnsi="Times New Roman" w:cs="Times New Roman"/>
                <w:vertAlign w:val="subscript"/>
                <w:lang w:val="en-US" w:eastAsia="ru-RU"/>
              </w:rPr>
              <w:t>in</w:t>
            </w:r>
            <w:r>
              <w:rPr>
                <w:rFonts w:ascii="Times New Roman" w:eastAsia="Times New Roman" w:hAnsi="Times New Roman" w:cs="Times New Roman"/>
                <w:lang w:eastAsia="ru-RU"/>
              </w:rPr>
              <w:t xml:space="preserve"> - минимальное значение характеристики квалификации участников закупки N 1, содержащееся в заявках (частях заявок), подлежащих в соответствии с Законом о контрактной системе оценке по характеристике квалификации участников закупки N 1 (наибольшая цена одного из исполненных участником закупки договоров) показателя «наличие у участников закупки опыта работы, связанного с предметом контракта»;</w:t>
            </w:r>
          </w:p>
          <w:p>
            <w:pPr>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noProof/>
                <w:lang w:eastAsia="ru-RU"/>
              </w:rPr>
              <w:drawing>
                <wp:inline distT="0" distB="0" distL="0" distR="0">
                  <wp:extent cx="319405" cy="228600"/>
                  <wp:effectExtent l="0" t="0" r="444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6963" cy="241166"/>
                          </a:xfrm>
                          <a:prstGeom prst="rect">
                            <a:avLst/>
                          </a:prstGeom>
                          <a:noFill/>
                          <a:ln>
                            <a:noFill/>
                          </a:ln>
                        </pic:spPr>
                      </pic:pic>
                    </a:graphicData>
                  </a:graphic>
                </wp:inline>
              </w:drawing>
            </w:r>
            <w:r>
              <w:rPr>
                <w:rFonts w:ascii="Times New Roman" w:eastAsia="Times New Roman" w:hAnsi="Times New Roman" w:cs="Times New Roman"/>
                <w:lang w:eastAsia="ru-RU"/>
              </w:rPr>
              <w:t xml:space="preserve"> - предельное максимальное значение характеристики квалификации участников закупки N 1 установленное Заказчиком, равное двумстам пятидесяти миллионам рублей.</w:t>
            </w:r>
          </w:p>
          <w:p>
            <w:pPr>
              <w:widowControl w:val="0"/>
              <w:spacing w:after="0" w:line="240" w:lineRule="auto"/>
              <w:jc w:val="both"/>
              <w:rPr>
                <w:rFonts w:ascii="Times New Roman" w:eastAsia="Times New Roman" w:hAnsi="Times New Roman" w:cs="Times New Roman"/>
                <w:color w:val="000000"/>
                <w:szCs w:val="20"/>
                <w:lang w:eastAsia="ru-RU"/>
              </w:rPr>
            </w:pPr>
            <w:r>
              <w:rPr>
                <w:rFonts w:ascii="Times New Roman" w:eastAsia="Times New Roman" w:hAnsi="Times New Roman" w:cs="Times New Roman"/>
                <w:lang w:eastAsia="ru-RU"/>
              </w:rPr>
              <w:t>Если предложенное участником значение характеристики квалификации участников закупки N 1 выше предельного максимального значения, баллы по характеристике квалификации участников закупки N 1 присваиваются в размере, предусмотренном для предельного максимального значения характеристики квалификации участников закупки N 1.</w:t>
            </w:r>
          </w:p>
        </w:tc>
      </w:tr>
    </w:tbl>
    <w:p>
      <w:pPr>
        <w:spacing w:after="0" w:line="240" w:lineRule="auto"/>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lastRenderedPageBreak/>
        <w:br w:type="page"/>
      </w:r>
    </w:p>
    <w:p>
      <w:pPr>
        <w:spacing w:after="0" w:line="240" w:lineRule="auto"/>
        <w:rPr>
          <w:rFonts w:ascii="Times New Roman" w:eastAsia="Times New Roman" w:hAnsi="Times New Roman" w:cs="Times New Roman"/>
          <w:color w:val="000000"/>
          <w:sz w:val="20"/>
          <w:szCs w:val="20"/>
          <w:lang w:eastAsia="ru-RU"/>
        </w:rPr>
        <w:sectPr>
          <w:pgSz w:w="16838" w:h="11906" w:orient="landscape"/>
          <w:pgMar w:top="1701" w:right="1134" w:bottom="851" w:left="1134" w:header="709" w:footer="709" w:gutter="0"/>
          <w:cols w:space="720"/>
        </w:sect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4737"/>
      </w:tblGrid>
      <w:tr>
        <w:tc>
          <w:tcPr>
            <w:tcW w:w="14737" w:type="dxa"/>
            <w:tcMar>
              <w:top w:w="102" w:type="dxa"/>
              <w:left w:w="62" w:type="dxa"/>
              <w:bottom w:w="102" w:type="dxa"/>
              <w:right w:w="62" w:type="dxa"/>
            </w:tcMar>
          </w:tcPr>
          <w:p>
            <w:pPr>
              <w:widowControl w:val="0"/>
              <w:spacing w:after="0" w:line="240" w:lineRule="auto"/>
              <w:jc w:val="center"/>
              <w:outlineLvl w:val="2"/>
              <w:rPr>
                <w:rFonts w:ascii="Times New Roman" w:eastAsia="Times New Roman" w:hAnsi="Times New Roman" w:cs="Times New Roman"/>
                <w:color w:val="000000"/>
                <w:szCs w:val="20"/>
                <w:u w:val="single"/>
                <w:lang w:eastAsia="ru-RU"/>
              </w:rPr>
            </w:pPr>
            <w:r>
              <w:rPr>
                <w:rFonts w:ascii="Times New Roman" w:eastAsia="Times New Roman" w:hAnsi="Times New Roman" w:cs="Times New Roman"/>
                <w:color w:val="000000"/>
                <w:szCs w:val="20"/>
                <w:u w:val="single"/>
                <w:lang w:eastAsia="ru-RU"/>
              </w:rPr>
              <w:lastRenderedPageBreak/>
              <w:t xml:space="preserve">III. Отдельные положения о применении отдельных критериев оценки, показателей оценки и показателей оценки, детализирующих показатели оценки, предусмотренных разделом II настоящего документа </w:t>
            </w:r>
            <w:r>
              <w:rPr>
                <w:rFonts w:ascii="Times New Roman" w:eastAsia="Times New Roman" w:hAnsi="Times New Roman" w:cs="Times New Roman"/>
                <w:color w:val="000000"/>
                <w:szCs w:val="20"/>
                <w:lang w:eastAsia="ru-RU"/>
              </w:rPr>
              <w:t>(порядок оценки)</w:t>
            </w:r>
          </w:p>
        </w:tc>
      </w:tr>
    </w:tbl>
    <w:p>
      <w:pPr>
        <w:widowControl w:val="0"/>
        <w:spacing w:after="0" w:line="240" w:lineRule="auto"/>
        <w:jc w:val="both"/>
        <w:rPr>
          <w:rFonts w:ascii="Times New Roman" w:eastAsia="Times New Roman" w:hAnsi="Times New Roman" w:cs="Times New Roman"/>
          <w:color w:val="000000"/>
          <w:szCs w:val="20"/>
          <w:lang w:eastAsia="ru-RU"/>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638"/>
        <w:gridCol w:w="3185"/>
        <w:gridCol w:w="11407"/>
      </w:tblGrid>
      <w:tr>
        <w:tc>
          <w:tcPr>
            <w:tcW w:w="638"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vAlign w:val="center"/>
          </w:tcPr>
          <w:p>
            <w:pPr>
              <w:widowControl w:val="0"/>
              <w:spacing w:after="0" w:line="240" w:lineRule="auto"/>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N</w:t>
            </w:r>
          </w:p>
        </w:tc>
        <w:tc>
          <w:tcPr>
            <w:tcW w:w="3185"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vAlign w:val="center"/>
          </w:tcPr>
          <w:p>
            <w:pPr>
              <w:widowControl w:val="0"/>
              <w:spacing w:after="0" w:line="240" w:lineRule="auto"/>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Наименование критерия оценки, показателя оценки, показателя оценки, детализирующего показатель оценки, при применении которого устанавливается положение, предусмотренное графой 3</w:t>
            </w:r>
          </w:p>
        </w:tc>
        <w:tc>
          <w:tcPr>
            <w:tcW w:w="11407"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vAlign w:val="center"/>
          </w:tcPr>
          <w:p>
            <w:pPr>
              <w:widowControl w:val="0"/>
              <w:spacing w:after="0" w:line="240" w:lineRule="auto"/>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Положение о применении критерия оценки, показателя оценки, показателя оценки, детализирующего показатель оценки</w:t>
            </w:r>
          </w:p>
        </w:tc>
      </w:tr>
      <w:tr>
        <w:tc>
          <w:tcPr>
            <w:tcW w:w="638"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vAlign w:val="center"/>
          </w:tcPr>
          <w:p>
            <w:pPr>
              <w:widowControl w:val="0"/>
              <w:spacing w:after="0" w:line="240" w:lineRule="auto"/>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1</w:t>
            </w:r>
          </w:p>
        </w:tc>
        <w:tc>
          <w:tcPr>
            <w:tcW w:w="3185"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vAlign w:val="center"/>
          </w:tcPr>
          <w:p>
            <w:pPr>
              <w:widowControl w:val="0"/>
              <w:spacing w:after="0" w:line="240" w:lineRule="auto"/>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2</w:t>
            </w:r>
          </w:p>
        </w:tc>
        <w:tc>
          <w:tcPr>
            <w:tcW w:w="11407"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vAlign w:val="center"/>
          </w:tcPr>
          <w:p>
            <w:pPr>
              <w:widowControl w:val="0"/>
              <w:spacing w:after="0" w:line="240" w:lineRule="auto"/>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3</w:t>
            </w:r>
          </w:p>
        </w:tc>
      </w:tr>
      <w:tr>
        <w:tc>
          <w:tcPr>
            <w:tcW w:w="638"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1</w:t>
            </w:r>
          </w:p>
        </w:tc>
        <w:tc>
          <w:tcPr>
            <w:tcW w:w="3185"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Критерий оценки «Цена контракта, сумма цен единиц товара, работы, услуги»</w:t>
            </w:r>
          </w:p>
        </w:tc>
        <w:tc>
          <w:tcPr>
            <w:tcW w:w="11407"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jc w:val="both"/>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Заявкам, содержащим наилучшее ценовое предложение, а также предложение, равное такому наилучшему ценовому предложению, присваивается 100 баллов.</w:t>
            </w:r>
          </w:p>
          <w:p>
            <w:pPr>
              <w:widowControl w:val="0"/>
              <w:spacing w:after="0" w:line="240" w:lineRule="auto"/>
              <w:jc w:val="both"/>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Применение показателей оценки по критерию оценки «Цена контракта, сумма цен единиц товары, работы, услуги» не допускается.</w:t>
            </w:r>
          </w:p>
        </w:tc>
      </w:tr>
      <w:tr>
        <w:tc>
          <w:tcPr>
            <w:tcW w:w="638"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2</w:t>
            </w:r>
          </w:p>
        </w:tc>
        <w:tc>
          <w:tcPr>
            <w:tcW w:w="3185"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 xml:space="preserve">Критерий оценки «Квалификация участников закупки, в том числе наличие </w:t>
            </w:r>
            <w:r>
              <w:rPr>
                <w:rFonts w:ascii="Times New Roman" w:eastAsia="Times New Roman" w:hAnsi="Times New Roman" w:cs="Times New Roman"/>
                <w:color w:val="000000"/>
                <w:szCs w:val="20"/>
                <w:lang w:eastAsia="ru-RU"/>
              </w:rPr>
              <w:br/>
              <w:t>у них финансовых ресурсов, оборудования и других материальных ресурсов на праве собственности или ином законном основании, опыта работы, связанного с предметом контракта, и деловой репутации, специалистов и иных работников определенного уровня квалификации»</w:t>
            </w:r>
          </w:p>
        </w:tc>
        <w:tc>
          <w:tcPr>
            <w:tcW w:w="11407"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jc w:val="both"/>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Сумма величин значимости всех применяемых показателей оценки по критерию оценки составляет 100 процентов.</w:t>
            </w:r>
          </w:p>
        </w:tc>
      </w:tr>
      <w:tr>
        <w:tc>
          <w:tcPr>
            <w:tcW w:w="638"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jc w:val="center"/>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3</w:t>
            </w:r>
          </w:p>
        </w:tc>
        <w:tc>
          <w:tcPr>
            <w:tcW w:w="3185"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 xml:space="preserve">Показатель оценки «Наличие у </w:t>
            </w:r>
            <w:r>
              <w:rPr>
                <w:rFonts w:ascii="Times New Roman" w:eastAsia="Times New Roman" w:hAnsi="Times New Roman" w:cs="Times New Roman"/>
                <w:color w:val="000000"/>
                <w:szCs w:val="20"/>
                <w:lang w:eastAsia="ru-RU"/>
              </w:rPr>
              <w:lastRenderedPageBreak/>
              <w:t>участников закупки опыта работы, связанного с предметом контракта»</w:t>
            </w:r>
          </w:p>
        </w:tc>
        <w:tc>
          <w:tcPr>
            <w:tcW w:w="11407"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pPr>
              <w:widowControl w:val="0"/>
              <w:spacing w:after="0" w:line="240" w:lineRule="auto"/>
              <w:jc w:val="both"/>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lastRenderedPageBreak/>
              <w:t xml:space="preserve">Для показателя оценки «Наличие у участников закупки опыта работы, связанного с предметом контракта» применяется </w:t>
            </w:r>
            <w:r>
              <w:rPr>
                <w:rFonts w:ascii="Times New Roman" w:eastAsia="Times New Roman" w:hAnsi="Times New Roman" w:cs="Times New Roman"/>
                <w:color w:val="000000"/>
                <w:szCs w:val="20"/>
                <w:lang w:eastAsia="ru-RU"/>
              </w:rPr>
              <w:lastRenderedPageBreak/>
              <w:t>детализирующий показатель.</w:t>
            </w:r>
          </w:p>
          <w:p>
            <w:pPr>
              <w:widowControl w:val="0"/>
              <w:spacing w:after="0" w:line="240" w:lineRule="auto"/>
              <w:jc w:val="both"/>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В отношении детализирующего показателя устанавливается значимость детализирующего показателя. Значимость применяемого детализирующего показателя по показателю оценки составляет 100 процентов.</w:t>
            </w:r>
          </w:p>
          <w:p>
            <w:pPr>
              <w:widowControl w:val="0"/>
              <w:spacing w:after="0" w:line="240" w:lineRule="auto"/>
              <w:jc w:val="both"/>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Среднее количество баллов определяется путем суммирования количества баллов, присвоенных каждым членом комиссии по осуществлению закупок, и последующего деления на количество таких членов.</w:t>
            </w:r>
          </w:p>
        </w:tc>
      </w:tr>
      <w:tr>
        <w:tc>
          <w:tcPr>
            <w:tcW w:w="638"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vAlign w:val="center"/>
          </w:tcPr>
          <w:p>
            <w:pPr>
              <w:widowControl w:val="0"/>
              <w:spacing w:after="0" w:line="240" w:lineRule="auto"/>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lastRenderedPageBreak/>
              <w:t>4</w:t>
            </w:r>
          </w:p>
        </w:tc>
        <w:tc>
          <w:tcPr>
            <w:tcW w:w="3185"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vAlign w:val="center"/>
          </w:tcPr>
          <w:p>
            <w:pPr>
              <w:widowControl w:val="0"/>
              <w:spacing w:after="0" w:line="240" w:lineRule="auto"/>
              <w:jc w:val="both"/>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характеристика квалификации участников закупки N 1 (</w:t>
            </w:r>
            <w:r>
              <w:rPr>
                <w:rFonts w:ascii="Times New Roman" w:eastAsia="Times New Roman" w:hAnsi="Times New Roman" w:cs="Times New Roman"/>
                <w:color w:val="000000"/>
                <w:szCs w:val="20"/>
                <w:u w:val="single"/>
                <w:lang w:eastAsia="ru-RU"/>
              </w:rPr>
              <w:t>наибольшая цена одного из исполненных участником закупки договоров</w:t>
            </w:r>
            <w:r>
              <w:rPr>
                <w:rFonts w:ascii="Times New Roman" w:eastAsia="Times New Roman" w:hAnsi="Times New Roman" w:cs="Times New Roman"/>
                <w:color w:val="000000"/>
                <w:szCs w:val="20"/>
                <w:lang w:eastAsia="ru-RU"/>
              </w:rPr>
              <w:t>) показателя «наличие у участников закупки опыта работы, связанного с предметом контракта» критерия оценки «квалификация участников закупки, в том числе наличие у них финансовых ресурсов, оборудования и других материальных ресурсов на праве собственности или ином законном основании, опыта работы, связанного с предметом контракта, и деловой репутации, специалистов и иных работников определенного уровня квалификации»</w:t>
            </w:r>
          </w:p>
        </w:tc>
        <w:tc>
          <w:tcPr>
            <w:tcW w:w="11407"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vAlign w:val="center"/>
          </w:tcPr>
          <w:p>
            <w:pPr>
              <w:widowControl w:val="0"/>
              <w:spacing w:after="0" w:line="240" w:lineRule="auto"/>
              <w:jc w:val="both"/>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Для оценки по характеристике квалификации участников закупки N 1 (наибольшая цена одного из исполненных участником закупки договоров) показателя «наличие у участников закупки опыта работы, связанного с предметом контракта» критерия оценки «квалификация участников закупки, в том числе наличие у них финансовых ресурсов, оборудования и других материальных ресурсов на праве собственности или ином законном основании, опыта работы, связанного с предметом контракта, и деловой репутации, специалистов и иных работников определенного уровня квалификации» в соответствии с пунктом 28 Положения Заказчиком установлены:</w:t>
            </w:r>
          </w:p>
          <w:p>
            <w:pPr>
              <w:widowControl w:val="0"/>
              <w:spacing w:after="0" w:line="240" w:lineRule="auto"/>
              <w:jc w:val="both"/>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1) предмет договора, оцениваемого по характеристике квалификации участников закупки N 1 (наибольшая цена одного из исполненных участником закупки договоров) показателя «наличие у участников закупки опыта работы, связанного с предметом контракта», сопоставимый с предметом контракта, заключаемого по результатам определения поставщика (подрядчика, исполнителя): выполнение работ по строительству, реконструкции, капитальному ремонту,</w:t>
            </w:r>
            <w:r>
              <w:rPr>
                <w:rFonts w:ascii="Times New Roman" w:eastAsia="Times New Roman" w:hAnsi="Times New Roman" w:cs="Times New Roman"/>
                <w:color w:val="000000"/>
                <w:sz w:val="20"/>
                <w:szCs w:val="20"/>
                <w:lang w:eastAsia="ru-RU"/>
              </w:rPr>
              <w:t xml:space="preserve"> </w:t>
            </w:r>
            <w:r>
              <w:rPr>
                <w:rFonts w:ascii="Times New Roman" w:eastAsia="Times New Roman" w:hAnsi="Times New Roman" w:cs="Times New Roman"/>
                <w:color w:val="000000"/>
                <w:szCs w:val="20"/>
                <w:lang w:eastAsia="ru-RU"/>
              </w:rPr>
              <w:t>сносу объекта капитального строительства (за исключением линейного объекта);</w:t>
            </w:r>
          </w:p>
          <w:p>
            <w:pPr>
              <w:widowControl w:val="0"/>
              <w:spacing w:after="0" w:line="240" w:lineRule="auto"/>
              <w:jc w:val="both"/>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2) перечень документов, подтверждающих наличие у участника закупки опыта выполнения работы, связанного с предметом контракта: исполненный договор, акт (акты) приемки поставленного товара, выполненных работ, оказанных услуг, составленные при исполнении такого договора. При этом последний акт, составленный при исполнении договора, должен быть подписан не ранее чем за 5 лет до даты окончания срока подачи заявок.</w:t>
            </w:r>
          </w:p>
          <w:p>
            <w:pPr>
              <w:widowControl w:val="0"/>
              <w:spacing w:after="0" w:line="240" w:lineRule="auto"/>
              <w:jc w:val="both"/>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К оценке принимаются исполненные участником закупки с учетом правопреемства (в случае наличия в заявке подтверждающего документа) гражданско-правовые договоры.</w:t>
            </w:r>
          </w:p>
          <w:p>
            <w:pPr>
              <w:widowControl w:val="0"/>
              <w:spacing w:after="0" w:line="240" w:lineRule="auto"/>
              <w:jc w:val="both"/>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Если документы, предусмотренные подпунктом 2 пункта 4 настоящего порядка оценки и информация о таких документах содержатся в открытых и общедоступных государственных реестрах, размещенных в информационно-телекоммуникационной сети "Интернет", в том числе ведение которых осуществляется в единой информационной системе в сфере закупок с размещением указанных документов на официальном сайте единой информационной системы в сфере закупок в информационно-телекоммуникационной сети "Интернет", вместо направления таких документов участник закупки вправе направить номер реестровой записи из соответствующего реестра.</w:t>
            </w:r>
          </w:p>
          <w:p>
            <w:pPr>
              <w:widowControl w:val="0"/>
              <w:spacing w:after="0" w:line="240" w:lineRule="auto"/>
              <w:jc w:val="both"/>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К оценке принимаются документы, предусмотренные настоящим пунктом, в случае их представления в заявке в полном объеме и со всеми приложениями (в случае если проектная документация является приложением к таким документам, то к оценке принимаются документы, в том числе, если к ним не приложена такая проектная документация).</w:t>
            </w:r>
          </w:p>
          <w:p>
            <w:pPr>
              <w:widowControl w:val="0"/>
              <w:spacing w:after="0" w:line="240" w:lineRule="auto"/>
              <w:jc w:val="both"/>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К оценке принимаются исключительно контракт, заключенный и исполненный в соответствии с Законом о контрактной системе, и договор, заключенный и исполненный в соответствии с Федеральным законом от 18.07.2011 N 223-ФЗ "О закупках товаров, работ, услуг отдельными видами юридических лиц".</w:t>
            </w:r>
          </w:p>
          <w:p>
            <w:pPr>
              <w:widowControl w:val="0"/>
              <w:spacing w:after="0" w:line="240" w:lineRule="auto"/>
              <w:jc w:val="both"/>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Документы направляются в форме электронных документов или в форме электронных образов бумажных документов.</w:t>
            </w:r>
          </w:p>
          <w:p>
            <w:pPr>
              <w:widowControl w:val="0"/>
              <w:spacing w:after="0" w:line="240" w:lineRule="auto"/>
              <w:jc w:val="both"/>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lastRenderedPageBreak/>
              <w:t>В случае, если в исполненном контракте (договоре) цена выполненных работ, указанная в акте (актах) приемки выполненных работ, составленном при исполнении контракта (договора), не совпадает с ценой контракта (договора), для оценки по детализирующему показателю принимается стоимость работ, указанная в акте (актах) приемки выполненных работ, составленном при исполнении контракта (договора), при условии наличия дополнительного соглашения об изменении цены контракта (договора), соглашения о расторжении контракта (договора) (при достижении результата работ по контракту (договору), решения суда (при достижении результата работ по контракту (договору), или иного документа, подтверждающего полное (надлежащее) выполнение обязательств участником закупки по такому контракту (договору).</w:t>
            </w:r>
          </w:p>
          <w:p>
            <w:pPr>
              <w:widowControl w:val="0"/>
              <w:spacing w:after="0" w:line="240" w:lineRule="auto"/>
              <w:jc w:val="both"/>
              <w:rPr>
                <w:rFonts w:ascii="Times New Roman" w:eastAsia="Times New Roman" w:hAnsi="Times New Roman" w:cs="Times New Roman"/>
                <w:color w:val="000000"/>
                <w:szCs w:val="20"/>
                <w:lang w:eastAsia="ru-RU"/>
              </w:rPr>
            </w:pPr>
            <w:r>
              <w:rPr>
                <w:rFonts w:ascii="Times New Roman" w:eastAsia="Times New Roman" w:hAnsi="Times New Roman" w:cs="Times New Roman"/>
                <w:color w:val="000000"/>
                <w:szCs w:val="20"/>
                <w:lang w:eastAsia="ru-RU"/>
              </w:rPr>
              <w:t>В случае предоставления не полного комплекта документов по договору, требуемых в соответствии с настоящим порядком оценки, либо предоставления документов по договору не в соответствии с положениями настоящего порядка оценки, такой договор не будет учитываться комиссией при оценке заявок.</w:t>
            </w:r>
          </w:p>
          <w:p>
            <w:pPr>
              <w:widowControl w:val="0"/>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color w:val="000000"/>
                <w:szCs w:val="20"/>
                <w:lang w:eastAsia="ru-RU"/>
              </w:rPr>
              <w:t>В рамках характеристики квалификации участников закупки N 1 (наибольшая цена одного из исполненных участником закупки договоров) показателя «наличие у участников закупки опыта работы, связанного с предметом контракта» критерия оценки «квалификация участников закупки, в том числе наличие у них финансовых ресурсов, оборудования и других материальных ресурсов на праве собственности или ином законном основании, опыта работы, связанного с предметом контракта, и деловой репутации, специалистов и иных работников определенного уровня квалификации» комиссия при осуществлении оценки конкурсных заявок руководствуется правилами математического округления: методом округления к ближайшему целому, до двух цифр после запятой.</w:t>
            </w:r>
          </w:p>
        </w:tc>
      </w:tr>
    </w:tbl>
    <w:p>
      <w:pPr>
        <w:spacing w:after="0" w:line="240" w:lineRule="auto"/>
        <w:rPr>
          <w:rFonts w:ascii="Times New Roman" w:hAnsi="Times New Roman"/>
        </w:rPr>
      </w:pPr>
    </w:p>
    <w:p>
      <w:pPr>
        <w:widowControl w:val="0"/>
        <w:autoSpaceDE w:val="0"/>
        <w:autoSpaceDN w:val="0"/>
        <w:adjustRightInd w:val="0"/>
        <w:spacing w:after="0" w:line="240" w:lineRule="auto"/>
        <w:jc w:val="center"/>
        <w:rPr>
          <w:rFonts w:ascii="Times New Roman" w:hAnsi="Times New Roman"/>
        </w:rPr>
      </w:pPr>
    </w:p>
    <w:sectPr>
      <w:pgSz w:w="16838" w:h="11906" w:orient="landscape"/>
      <w:pgMar w:top="1701" w:right="1134" w:bottom="851"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50561"/>
    <w:multiLevelType w:val="hybridMultilevel"/>
    <w:tmpl w:val="3294CE00"/>
    <w:lvl w:ilvl="0" w:tplc="91608F8A">
      <w:start w:val="1"/>
      <w:numFmt w:val="upperRoman"/>
      <w:lvlText w:val="%1."/>
      <w:lvlJc w:val="left"/>
      <w:pPr>
        <w:ind w:left="2160" w:hanging="72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 w15:restartNumberingAfterBreak="0">
    <w:nsid w:val="106359D8"/>
    <w:multiLevelType w:val="hybridMultilevel"/>
    <w:tmpl w:val="D5C6AF38"/>
    <w:lvl w:ilvl="0" w:tplc="1D1C2FDA">
      <w:start w:val="1"/>
      <w:numFmt w:val="upperRoman"/>
      <w:lvlText w:val="%1."/>
      <w:lvlJc w:val="left"/>
      <w:pPr>
        <w:ind w:left="1440" w:hanging="72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1D532590"/>
    <w:multiLevelType w:val="hybridMultilevel"/>
    <w:tmpl w:val="1B4817C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97B54E0"/>
    <w:multiLevelType w:val="multilevel"/>
    <w:tmpl w:val="C3CE6468"/>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2200AEB"/>
    <w:multiLevelType w:val="multilevel"/>
    <w:tmpl w:val="327C379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FDA1AE6"/>
    <w:multiLevelType w:val="hybridMultilevel"/>
    <w:tmpl w:val="13422CB8"/>
    <w:lvl w:ilvl="0" w:tplc="1D1C2FDA">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1"/>
  </w:num>
  <w:num w:numId="3">
    <w:abstractNumId w:val="0"/>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C63F28EE-9FAA-4D6B-A5A2-C1E839C36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widowControl w:val="0"/>
      <w:spacing w:before="240" w:after="0" w:line="240" w:lineRule="auto"/>
      <w:outlineLvl w:val="0"/>
    </w:pPr>
    <w:rPr>
      <w:rFonts w:asciiTheme="majorHAnsi" w:eastAsiaTheme="majorEastAsia" w:hAnsiTheme="majorHAnsi" w:cstheme="majorBidi"/>
      <w:color w:val="2E74B5" w:themeColor="accent1" w:themeShade="BF"/>
      <w:sz w:val="32"/>
      <w:szCs w:val="32"/>
      <w:lang w:eastAsia="ru-RU" w:bidi="ru-RU"/>
    </w:rPr>
  </w:style>
  <w:style w:type="paragraph" w:styleId="2">
    <w:name w:val="heading 2"/>
    <w:basedOn w:val="a"/>
    <w:next w:val="a"/>
    <w:link w:val="20"/>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pPr>
      <w:keepNext/>
      <w:keepLines/>
      <w:spacing w:before="200" w:after="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677"/>
        <w:tab w:val="right" w:pos="9355"/>
      </w:tabs>
      <w:spacing w:after="0" w:line="240" w:lineRule="auto"/>
    </w:pPr>
  </w:style>
  <w:style w:type="character" w:customStyle="1" w:styleId="a4">
    <w:name w:val="Верхний колонтитул Знак"/>
    <w:basedOn w:val="a0"/>
    <w:link w:val="a3"/>
    <w:uiPriority w:val="99"/>
  </w:style>
  <w:style w:type="paragraph" w:styleId="a5">
    <w:name w:val="footer"/>
    <w:basedOn w:val="a"/>
    <w:link w:val="a6"/>
    <w:uiPriority w:val="99"/>
    <w:unhideWhenUsed/>
    <w:pPr>
      <w:tabs>
        <w:tab w:val="center" w:pos="4677"/>
        <w:tab w:val="right" w:pos="9355"/>
      </w:tabs>
      <w:spacing w:after="0" w:line="240" w:lineRule="auto"/>
    </w:pPr>
  </w:style>
  <w:style w:type="character" w:customStyle="1" w:styleId="a6">
    <w:name w:val="Нижний колонтитул Знак"/>
    <w:basedOn w:val="a0"/>
    <w:link w:val="a5"/>
    <w:uiPriority w:val="99"/>
  </w:style>
  <w:style w:type="paragraph" w:customStyle="1" w:styleId="ConsPlusNormal">
    <w:name w:val="ConsPlusNormal"/>
    <w:link w:val="ConsPlusNormal0"/>
    <w:qFormat/>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table" w:styleId="a7">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9">
    <w:name w:val="Balloon Text"/>
    <w:basedOn w:val="a"/>
    <w:link w:val="aa"/>
    <w:uiPriority w:val="99"/>
    <w:semiHidden/>
    <w:unhideWhenUsed/>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Pr>
      <w:rFonts w:ascii="Tahoma" w:hAnsi="Tahoma" w:cs="Tahoma"/>
      <w:sz w:val="16"/>
      <w:szCs w:val="16"/>
    </w:rPr>
  </w:style>
  <w:style w:type="character" w:styleId="ab">
    <w:name w:val="annotation reference"/>
    <w:basedOn w:val="a0"/>
    <w:uiPriority w:val="99"/>
    <w:semiHidden/>
    <w:unhideWhenUsed/>
    <w:rPr>
      <w:sz w:val="16"/>
      <w:szCs w:val="16"/>
    </w:rPr>
  </w:style>
  <w:style w:type="paragraph" w:styleId="ac">
    <w:name w:val="annotation text"/>
    <w:basedOn w:val="a"/>
    <w:link w:val="ad"/>
    <w:uiPriority w:val="99"/>
    <w:semiHidden/>
    <w:unhideWhenUsed/>
    <w:pPr>
      <w:spacing w:line="240" w:lineRule="auto"/>
    </w:pPr>
    <w:rPr>
      <w:sz w:val="20"/>
      <w:szCs w:val="20"/>
    </w:rPr>
  </w:style>
  <w:style w:type="character" w:customStyle="1" w:styleId="ad">
    <w:name w:val="Текст примечания Знак"/>
    <w:basedOn w:val="a0"/>
    <w:link w:val="ac"/>
    <w:uiPriority w:val="99"/>
    <w:semiHidden/>
    <w:rPr>
      <w:sz w:val="20"/>
      <w:szCs w:val="20"/>
    </w:rPr>
  </w:style>
  <w:style w:type="paragraph" w:styleId="ae">
    <w:name w:val="annotation subject"/>
    <w:basedOn w:val="ac"/>
    <w:next w:val="ac"/>
    <w:link w:val="af"/>
    <w:uiPriority w:val="99"/>
    <w:semiHidden/>
    <w:unhideWhenUsed/>
    <w:rPr>
      <w:b/>
      <w:bCs/>
    </w:rPr>
  </w:style>
  <w:style w:type="character" w:customStyle="1" w:styleId="af">
    <w:name w:val="Тема примечания Знак"/>
    <w:basedOn w:val="ad"/>
    <w:link w:val="ae"/>
    <w:uiPriority w:val="99"/>
    <w:semiHidden/>
    <w:rPr>
      <w:b/>
      <w:bCs/>
      <w:sz w:val="20"/>
      <w:szCs w:val="20"/>
    </w:rPr>
  </w:style>
  <w:style w:type="character" w:styleId="af0">
    <w:name w:val="Hyperlink"/>
    <w:basedOn w:val="a0"/>
    <w:uiPriority w:val="99"/>
    <w:unhideWhenUsed/>
    <w:rPr>
      <w:color w:val="0563C1" w:themeColor="hyperlink"/>
      <w:u w:val="single"/>
    </w:rPr>
  </w:style>
  <w:style w:type="paragraph" w:styleId="af1">
    <w:name w:val="List Paragraph"/>
    <w:basedOn w:val="a"/>
    <w:link w:val="af2"/>
    <w:uiPriority w:val="34"/>
    <w:qFormat/>
    <w:pPr>
      <w:ind w:left="720"/>
      <w:contextualSpacing/>
    </w:pPr>
  </w:style>
  <w:style w:type="character" w:customStyle="1" w:styleId="af2">
    <w:name w:val="Абзац списка Знак"/>
    <w:link w:val="af1"/>
    <w:uiPriority w:val="34"/>
    <w:locked/>
  </w:style>
  <w:style w:type="character" w:customStyle="1" w:styleId="10">
    <w:name w:val="Заголовок 1 Знак"/>
    <w:basedOn w:val="a0"/>
    <w:link w:val="1"/>
    <w:uiPriority w:val="9"/>
    <w:rPr>
      <w:rFonts w:asciiTheme="majorHAnsi" w:eastAsiaTheme="majorEastAsia" w:hAnsiTheme="majorHAnsi" w:cstheme="majorBidi"/>
      <w:color w:val="2E74B5" w:themeColor="accent1" w:themeShade="BF"/>
      <w:sz w:val="32"/>
      <w:szCs w:val="32"/>
      <w:lang w:eastAsia="ru-RU" w:bidi="ru-RU"/>
    </w:rPr>
  </w:style>
  <w:style w:type="paragraph" w:customStyle="1" w:styleId="af3">
    <w:name w:val="Центрированный (таблица)"/>
    <w:basedOn w:val="a"/>
    <w:next w:val="a"/>
    <w:uiPriority w:val="99"/>
    <w:pPr>
      <w:widowControl w:val="0"/>
      <w:autoSpaceDE w:val="0"/>
      <w:autoSpaceDN w:val="0"/>
      <w:adjustRightInd w:val="0"/>
      <w:spacing w:after="0" w:line="240" w:lineRule="auto"/>
      <w:jc w:val="center"/>
    </w:pPr>
    <w:rPr>
      <w:rFonts w:ascii="Arial" w:eastAsiaTheme="minorEastAsia" w:hAnsi="Arial" w:cs="Arial"/>
      <w:sz w:val="20"/>
      <w:szCs w:val="20"/>
      <w:lang w:eastAsia="ru-RU"/>
    </w:rPr>
  </w:style>
  <w:style w:type="paragraph" w:customStyle="1" w:styleId="aligncenter">
    <w:name w:val="align_center"/>
    <w:basedOn w:val="a"/>
    <w:uiPriority w:val="9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4">
    <w:name w:val="Нормальный (таблица)"/>
    <w:basedOn w:val="a"/>
    <w:next w:val="a"/>
    <w:uiPriority w:val="99"/>
    <w:pPr>
      <w:widowControl w:val="0"/>
      <w:autoSpaceDE w:val="0"/>
      <w:autoSpaceDN w:val="0"/>
      <w:adjustRightInd w:val="0"/>
      <w:spacing w:after="0" w:line="240" w:lineRule="auto"/>
      <w:jc w:val="both"/>
    </w:pPr>
    <w:rPr>
      <w:rFonts w:ascii="Arial" w:eastAsiaTheme="minorEastAsia" w:hAnsi="Arial" w:cs="Arial"/>
      <w:sz w:val="20"/>
      <w:szCs w:val="20"/>
      <w:lang w:eastAsia="ru-RU"/>
    </w:rPr>
  </w:style>
  <w:style w:type="character" w:customStyle="1" w:styleId="copytarget">
    <w:name w:val="copy_target"/>
    <w:basedOn w:val="a0"/>
  </w:style>
  <w:style w:type="paragraph" w:styleId="af5">
    <w:name w:val="No Spacing"/>
    <w:aliases w:val="для таблиц,Без интервал,Основной,мой,МОЙ,Без интервала 111,МММ,МОЙ МОЙ,No Spacing,Без интервала2,Без интервала21,No Spacing111,Без интервала1"/>
    <w:link w:val="af6"/>
    <w:uiPriority w:val="1"/>
    <w:qFormat/>
    <w:pPr>
      <w:spacing w:after="0" w:line="240" w:lineRule="auto"/>
    </w:pPr>
    <w:rPr>
      <w:rFonts w:ascii="Calibri" w:eastAsia="Calibri" w:hAnsi="Calibri" w:cs="Times New Roman"/>
    </w:rPr>
  </w:style>
  <w:style w:type="character" w:customStyle="1" w:styleId="af6">
    <w:name w:val="Без интервала Знак"/>
    <w:aliases w:val="для таблиц Знак,Без интервал Знак,Основной Знак,мой Знак,МОЙ Знак,Без интервала 111 Знак,МММ Знак,МОЙ МОЙ Знак,No Spacing Знак,Без интервала2 Знак,Без интервала21 Знак,No Spacing111 Знак,Без интервала1 Знак"/>
    <w:link w:val="af5"/>
    <w:uiPriority w:val="1"/>
    <w:qFormat/>
    <w:locked/>
    <w:rPr>
      <w:rFonts w:ascii="Calibri" w:eastAsia="Calibri" w:hAnsi="Calibri" w:cs="Times New Roman"/>
    </w:rPr>
  </w:style>
  <w:style w:type="character" w:customStyle="1" w:styleId="30">
    <w:name w:val="Заголовок 3 Знак"/>
    <w:basedOn w:val="a0"/>
    <w:link w:val="3"/>
    <w:uiPriority w:val="9"/>
    <w:semiHidden/>
    <w:rPr>
      <w:rFonts w:asciiTheme="majorHAnsi" w:eastAsiaTheme="majorEastAsia" w:hAnsiTheme="majorHAnsi" w:cstheme="majorBidi"/>
      <w:b/>
      <w:bCs/>
      <w:color w:val="5B9BD5" w:themeColor="accent1"/>
    </w:rPr>
  </w:style>
  <w:style w:type="character" w:customStyle="1" w:styleId="11">
    <w:name w:val="Заголовок1"/>
    <w:basedOn w:val="a0"/>
  </w:style>
  <w:style w:type="character" w:customStyle="1" w:styleId="ConsPlusNormal0">
    <w:name w:val="ConsPlusNormal Знак"/>
    <w:link w:val="ConsPlusNormal"/>
    <w:locked/>
    <w:rPr>
      <w:rFonts w:ascii="Times New Roman" w:eastAsia="Times New Roman" w:hAnsi="Times New Roman" w:cs="Times New Roman"/>
      <w:sz w:val="24"/>
      <w:szCs w:val="24"/>
      <w:lang w:eastAsia="ru-RU"/>
    </w:r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sectioninfo">
    <w:name w:val="section__info"/>
    <w:basedOn w:val="a0"/>
  </w:style>
  <w:style w:type="character" w:customStyle="1" w:styleId="af7">
    <w:name w:val="Выделение жирным"/>
    <w:qFormat/>
    <w:rPr>
      <w:b/>
      <w:bCs/>
    </w:rPr>
  </w:style>
  <w:style w:type="character" w:customStyle="1" w:styleId="Bodytext2">
    <w:name w:val="Body text (2)_"/>
    <w:link w:val="Bodytext20"/>
    <w:rPr>
      <w:sz w:val="26"/>
      <w:szCs w:val="26"/>
      <w:shd w:val="clear" w:color="auto" w:fill="FFFFFF"/>
    </w:rPr>
  </w:style>
  <w:style w:type="paragraph" w:customStyle="1" w:styleId="Bodytext20">
    <w:name w:val="Body text (2)"/>
    <w:basedOn w:val="a"/>
    <w:link w:val="Bodytext2"/>
    <w:pPr>
      <w:widowControl w:val="0"/>
      <w:shd w:val="clear" w:color="auto" w:fill="FFFFFF"/>
      <w:spacing w:after="0" w:line="293" w:lineRule="exact"/>
      <w:ind w:hanging="500"/>
    </w:pPr>
    <w:rPr>
      <w:sz w:val="26"/>
      <w:szCs w:val="26"/>
    </w:rPr>
  </w:style>
  <w:style w:type="character" w:customStyle="1" w:styleId="12">
    <w:name w:val="Неразрешенное упоминание1"/>
    <w:basedOn w:val="a0"/>
    <w:uiPriority w:val="99"/>
    <w:semiHidden/>
    <w:unhideWhenUsed/>
    <w:rPr>
      <w:color w:val="605E5C"/>
      <w:shd w:val="clear" w:color="auto" w:fill="E1DFDD"/>
    </w:rPr>
  </w:style>
  <w:style w:type="character" w:customStyle="1" w:styleId="20">
    <w:name w:val="Заголовок 2 Знак"/>
    <w:basedOn w:val="a0"/>
    <w:link w:val="2"/>
    <w:uiPriority w:val="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85704">
      <w:bodyDiv w:val="1"/>
      <w:marLeft w:val="0"/>
      <w:marRight w:val="0"/>
      <w:marTop w:val="0"/>
      <w:marBottom w:val="0"/>
      <w:divBdr>
        <w:top w:val="none" w:sz="0" w:space="0" w:color="auto"/>
        <w:left w:val="none" w:sz="0" w:space="0" w:color="auto"/>
        <w:bottom w:val="none" w:sz="0" w:space="0" w:color="auto"/>
        <w:right w:val="none" w:sz="0" w:space="0" w:color="auto"/>
      </w:divBdr>
    </w:div>
    <w:div w:id="81605134">
      <w:bodyDiv w:val="1"/>
      <w:marLeft w:val="0"/>
      <w:marRight w:val="0"/>
      <w:marTop w:val="0"/>
      <w:marBottom w:val="0"/>
      <w:divBdr>
        <w:top w:val="none" w:sz="0" w:space="0" w:color="auto"/>
        <w:left w:val="none" w:sz="0" w:space="0" w:color="auto"/>
        <w:bottom w:val="none" w:sz="0" w:space="0" w:color="auto"/>
        <w:right w:val="none" w:sz="0" w:space="0" w:color="auto"/>
      </w:divBdr>
    </w:div>
    <w:div w:id="320810656">
      <w:bodyDiv w:val="1"/>
      <w:marLeft w:val="0"/>
      <w:marRight w:val="0"/>
      <w:marTop w:val="0"/>
      <w:marBottom w:val="0"/>
      <w:divBdr>
        <w:top w:val="none" w:sz="0" w:space="0" w:color="auto"/>
        <w:left w:val="none" w:sz="0" w:space="0" w:color="auto"/>
        <w:bottom w:val="none" w:sz="0" w:space="0" w:color="auto"/>
        <w:right w:val="none" w:sz="0" w:space="0" w:color="auto"/>
      </w:divBdr>
    </w:div>
    <w:div w:id="900139123">
      <w:bodyDiv w:val="1"/>
      <w:marLeft w:val="0"/>
      <w:marRight w:val="0"/>
      <w:marTop w:val="0"/>
      <w:marBottom w:val="0"/>
      <w:divBdr>
        <w:top w:val="none" w:sz="0" w:space="0" w:color="auto"/>
        <w:left w:val="none" w:sz="0" w:space="0" w:color="auto"/>
        <w:bottom w:val="none" w:sz="0" w:space="0" w:color="auto"/>
        <w:right w:val="none" w:sz="0" w:space="0" w:color="auto"/>
      </w:divBdr>
    </w:div>
    <w:div w:id="966545278">
      <w:bodyDiv w:val="1"/>
      <w:marLeft w:val="0"/>
      <w:marRight w:val="0"/>
      <w:marTop w:val="0"/>
      <w:marBottom w:val="0"/>
      <w:divBdr>
        <w:top w:val="none" w:sz="0" w:space="0" w:color="auto"/>
        <w:left w:val="none" w:sz="0" w:space="0" w:color="auto"/>
        <w:bottom w:val="none" w:sz="0" w:space="0" w:color="auto"/>
        <w:right w:val="none" w:sz="0" w:space="0" w:color="auto"/>
      </w:divBdr>
    </w:div>
    <w:div w:id="1129275296">
      <w:bodyDiv w:val="1"/>
      <w:marLeft w:val="0"/>
      <w:marRight w:val="0"/>
      <w:marTop w:val="0"/>
      <w:marBottom w:val="0"/>
      <w:divBdr>
        <w:top w:val="none" w:sz="0" w:space="0" w:color="auto"/>
        <w:left w:val="none" w:sz="0" w:space="0" w:color="auto"/>
        <w:bottom w:val="none" w:sz="0" w:space="0" w:color="auto"/>
        <w:right w:val="none" w:sz="0" w:space="0" w:color="auto"/>
      </w:divBdr>
    </w:div>
    <w:div w:id="1209606220">
      <w:bodyDiv w:val="1"/>
      <w:marLeft w:val="0"/>
      <w:marRight w:val="0"/>
      <w:marTop w:val="0"/>
      <w:marBottom w:val="0"/>
      <w:divBdr>
        <w:top w:val="none" w:sz="0" w:space="0" w:color="auto"/>
        <w:left w:val="none" w:sz="0" w:space="0" w:color="auto"/>
        <w:bottom w:val="none" w:sz="0" w:space="0" w:color="auto"/>
        <w:right w:val="none" w:sz="0" w:space="0" w:color="auto"/>
      </w:divBdr>
    </w:div>
    <w:div w:id="1338770076">
      <w:bodyDiv w:val="1"/>
      <w:marLeft w:val="0"/>
      <w:marRight w:val="0"/>
      <w:marTop w:val="0"/>
      <w:marBottom w:val="0"/>
      <w:divBdr>
        <w:top w:val="none" w:sz="0" w:space="0" w:color="auto"/>
        <w:left w:val="none" w:sz="0" w:space="0" w:color="auto"/>
        <w:bottom w:val="none" w:sz="0" w:space="0" w:color="auto"/>
        <w:right w:val="none" w:sz="0" w:space="0" w:color="auto"/>
      </w:divBdr>
    </w:div>
    <w:div w:id="1616136615">
      <w:bodyDiv w:val="1"/>
      <w:marLeft w:val="0"/>
      <w:marRight w:val="0"/>
      <w:marTop w:val="0"/>
      <w:marBottom w:val="0"/>
      <w:divBdr>
        <w:top w:val="none" w:sz="0" w:space="0" w:color="auto"/>
        <w:left w:val="none" w:sz="0" w:space="0" w:color="auto"/>
        <w:bottom w:val="none" w:sz="0" w:space="0" w:color="auto"/>
        <w:right w:val="none" w:sz="0" w:space="0" w:color="auto"/>
      </w:divBdr>
    </w:div>
    <w:div w:id="1971396510">
      <w:bodyDiv w:val="1"/>
      <w:marLeft w:val="0"/>
      <w:marRight w:val="0"/>
      <w:marTop w:val="0"/>
      <w:marBottom w:val="0"/>
      <w:divBdr>
        <w:top w:val="none" w:sz="0" w:space="0" w:color="auto"/>
        <w:left w:val="none" w:sz="0" w:space="0" w:color="auto"/>
        <w:bottom w:val="none" w:sz="0" w:space="0" w:color="auto"/>
        <w:right w:val="none" w:sz="0" w:space="0" w:color="auto"/>
      </w:divBdr>
    </w:div>
    <w:div w:id="2145387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bPto%23469\Downloads\&#1072;" TargetMode="External"/><Relationship Id="rId13" Type="http://schemas.openxmlformats.org/officeDocument/2006/relationships/hyperlink" Target="https://login.consultant.ru/link/?req=doc&amp;base=LAW&amp;n=430707&amp;date=15.11.2022&amp;dst=1178&amp;field=134" TargetMode="External"/><Relationship Id="rId18" Type="http://schemas.openxmlformats.org/officeDocument/2006/relationships/hyperlink" Target="file:///C:\Users\VbPto%23469\Downloads\&#1094;&#1077;&#1085;&#1072;"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hyperlink" Target="file:///C:\Users\VbPto%23469\Downloads\&#1094;&#1077;&#1085;&#1072;" TargetMode="Externa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VbPto%23469\Downloads\&#1073;" TargetMode="External"/><Relationship Id="rId5" Type="http://schemas.openxmlformats.org/officeDocument/2006/relationships/webSettings" Target="webSettings.xml"/><Relationship Id="rId15" Type="http://schemas.openxmlformats.org/officeDocument/2006/relationships/image" Target="media/image3.wmf"/><Relationship Id="rId10" Type="http://schemas.openxmlformats.org/officeDocument/2006/relationships/hyperlink" Target="https://login.consultant.ru/link/?req=doc&amp;base=LAW&amp;n=430707&amp;date=15.11.2022&amp;dst=1178&amp;field=134" TargetMode="External"/><Relationship Id="rId19" Type="http://schemas.openxmlformats.org/officeDocument/2006/relationships/image" Target="media/image5.wmf"/><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hyperlink" Target="https://login.consultant.ru/link/?req=doc&amp;base=LAW&amp;n=430707&amp;date=15.11.2022&amp;dst=1178&amp;field=134"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85842D-3827-47A7-A28D-F6F91F03F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8</Pages>
  <Words>2536</Words>
  <Characters>14459</Characters>
  <Application>Microsoft Office Word</Application>
  <DocSecurity>0</DocSecurity>
  <Lines>120</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goszakazruk</cp:lastModifiedBy>
  <cp:revision>7</cp:revision>
  <dcterms:created xsi:type="dcterms:W3CDTF">2025-09-02T11:26:00Z</dcterms:created>
  <dcterms:modified xsi:type="dcterms:W3CDTF">2026-10-16T09:42:00Z</dcterms:modified>
</cp:coreProperties>
</file>