
<file path=[Content_Types].xml><?xml version="1.0" encoding="utf-8"?>
<Types xmlns="http://schemas.openxmlformats.org/package/2006/content-types">
  <Default Extension="bmp" ContentType="image/bmp"/>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0.xml" ContentType="application/vnd.openxmlformats-officedocument.drawingml.chart+xml"/>
  <Override PartName="/word/charts/chart1.xml" ContentType="application/vnd.openxmlformats-officedocument.drawingml.chart+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ackground w:color="000000">
    <v:background o:bwmode="white" id="_x0000_s1025">
      <v:fill type="frame" recolor="t" r:id="rId1"/>
    </v:background>
  </w:background>
  <w:body>
    <w:bookmarkStart w:id="0" w:name="_top"/>
    <w:bookmarkEnd w:id="0"/>
    <w:p>
      <w:pPr>
        <w:pStyle w:val="0"/>
        <w:widowControl w:val="off"/>
      </w:pPr>
    </w:p>
    <w:p>
      <w:pPr>
        <w:pStyle w:val="0"/>
        <w:widowControl w:val="off"/>
        <w:rPr>
          <w:rFonts w:ascii="함초롬돋움" w:eastAsia="함초롬돋움"/>
          <w:color w:val="000000"/>
        </w:rPr>
      </w:pPr>
    </w:p>
    <w:p>
      <w:pPr>
        <w:pStyle w:val="0"/>
        <w:widowControl w:val="off"/>
        <w:rPr>
          <w:rFonts w:ascii="함초롬돋움" w:eastAsia="함초롬돋움"/>
          <w:color w:val="000000"/>
        </w:rPr>
      </w:pPr>
    </w:p>
    <w:p>
      <w:pPr>
        <w:pStyle w:val="0"/>
        <w:widowControl w:val="off"/>
        <w:rPr>
          <w:rFonts w:ascii="함초롬돋움" w:eastAsia="함초롬돋움"/>
          <w:b/>
          <w:color w:val="cccccc"/>
        </w:rPr>
      </w:pPr>
    </w:p>
    <w:p>
      <w:pPr>
        <w:pStyle w:val="0"/>
        <w:widowControl w:val="off"/>
        <w:rPr>
          <w:rFonts w:ascii="함초롬돋움" w:eastAsia="함초롬돋움"/>
          <w:color w:val="000000"/>
        </w:rPr>
      </w:pPr>
    </w:p>
    <w:p>
      <w:pPr>
        <w:pStyle w:val="0"/>
        <w:widowControl w:val="off"/>
        <w:rPr>
          <w:rFonts w:ascii="함초롬돋움" w:eastAsia="함초롬돋움"/>
          <w:color w:val="000000"/>
        </w:rPr>
      </w:pPr>
    </w:p>
    <w:p>
      <w:pPr>
        <w:pStyle w:val="0"/>
        <w:widowControl w:val="off"/>
        <w:rPr>
          <w:rFonts w:ascii="함초롬돋움" w:eastAsia="함초롬돋움"/>
          <w:color w:val="000000"/>
        </w:rPr>
      </w:pPr>
    </w:p>
    <w:p>
      <w:pPr>
        <w:pStyle w:val="0"/>
        <w:widowControl w:val="off"/>
        <w:rPr>
          <w:rFonts w:ascii="함초롬돋움" w:eastAsia="함초롬돋움"/>
          <w:color w:val="000000"/>
        </w:rPr>
      </w:pPr>
    </w:p>
    <w:p>
      <w:pPr>
        <w:pStyle w:val="0"/>
        <w:widowControl w:val="off"/>
        <w:wordWrap w:val="1"/>
        <w:ind w:right="1106"/>
        <w:jc w:val="right"/>
        <w:rPr>
          <w:rFonts w:ascii="함초롬돋움" w:eastAsia="함초롬돋움"/>
          <w:b/>
          <w:color w:val="e9ae2b"/>
          <w:sz w:val="50"/>
        </w:rPr>
      </w:pPr>
    </w:p>
    <w:p>
      <w:pPr>
        <w:pStyle w:val="0"/>
        <w:widowControl w:val="off"/>
        <w:wordWrap w:val="1"/>
        <w:ind w:right="1106"/>
        <w:jc w:val="right"/>
      </w:pPr>
      <w:r>
        <w:rPr>
          <w:rFonts w:ascii="함초롬돋움" w:eastAsia="함초롬돋움"/>
          <w:b/>
          <w:color w:val="bbbbbb"/>
          <w:sz w:val="50"/>
        </w:rPr>
        <w:t>- 멀티미디어학과 -</w:t>
      </w:r>
    </w:p>
    <w:p>
      <w:pPr>
        <w:pStyle w:val="0"/>
        <w:widowControl w:val="off"/>
        <w:wordWrap w:val="1"/>
        <w:spacing w:line="312" w:lineRule="auto"/>
        <w:ind w:right="1106"/>
        <w:jc w:val="right"/>
        <w:rPr>
          <w:rFonts w:ascii="함초롬돋움" w:eastAsia="함초롬돋움"/>
          <w:b/>
          <w:color w:val="3e57a5"/>
          <w:sz w:val="30"/>
        </w:rPr>
      </w:pPr>
    </w:p>
    <w:p>
      <w:pPr>
        <w:pStyle w:val="0"/>
        <w:widowControl w:val="off"/>
        <w:wordWrap w:val="1"/>
        <w:spacing w:line="312" w:lineRule="auto"/>
        <w:ind w:right="1106"/>
        <w:jc w:val="right"/>
      </w:pPr>
      <w:r>
        <w:rPr>
          <w:rFonts w:eastAsia="함초롬돋움"/>
          <w:b/>
          <w:color w:val="47b9b9"/>
          <w:sz w:val="80"/>
        </w:rPr>
        <w:t>최종과제</w:t>
      </w:r>
    </w:p>
    <w:p>
      <w:pPr>
        <w:pStyle w:val="0"/>
        <w:widowControl w:val="off"/>
        <w:wordWrap w:val="1"/>
        <w:spacing w:line="312" w:lineRule="auto"/>
        <w:ind w:right="1106"/>
        <w:jc w:val="right"/>
      </w:pPr>
      <w:r>
        <w:rPr>
          <w:rFonts w:ascii="함초롬돋움" w:eastAsia="함초롬돋움"/>
          <w:b/>
          <w:color w:val="47b9b9"/>
          <w:sz w:val="48"/>
        </w:rPr>
        <w:t>인터넷 서비스 관련 기술 보고서</w:t>
      </w:r>
    </w:p>
    <w:p>
      <w:pPr>
        <w:pStyle w:val="0"/>
        <w:widowControl w:val="off"/>
        <w:wordWrap w:val="1"/>
        <w:ind w:right="1106"/>
        <w:jc w:val="right"/>
        <w:rPr>
          <w:rFonts w:ascii="함초롬돋움" w:eastAsia="함초롬돋움"/>
          <w:b/>
          <w:color w:val="787878"/>
          <w:sz w:val="40"/>
        </w:rPr>
      </w:pPr>
    </w:p>
    <w:p>
      <w:pPr>
        <w:pStyle w:val="0"/>
        <w:widowControl w:val="off"/>
        <w:ind w:left="5400" w:right="1106"/>
      </w:pPr>
      <w:r>
        <w:rPr>
          <w:rFonts w:ascii="함초롬돋움" w:eastAsia="함초롬돋움"/>
          <w:b/>
          <w:color w:val="787878"/>
          <w:sz w:val="40"/>
        </w:rPr>
        <w:t>지도교수 : 김은희</w:t>
      </w:r>
    </w:p>
    <w:p>
      <w:pPr>
        <w:pStyle w:val="0"/>
        <w:widowControl w:val="off"/>
        <w:ind w:left="5400" w:right="1106"/>
      </w:pPr>
      <w:r>
        <w:rPr>
          <w:rFonts w:ascii="함초롬돋움" w:eastAsia="함초롬돋움"/>
          <w:b/>
          <w:color w:val="787878"/>
          <w:sz w:val="40"/>
        </w:rPr>
        <w:t>학    번 : 22200614</w:t>
      </w:r>
    </w:p>
    <w:p>
      <w:pPr>
        <w:pStyle w:val="0"/>
        <w:widowControl w:val="off"/>
        <w:ind w:left="5400" w:right="1106"/>
      </w:pPr>
      <w:r>
        <w:rPr>
          <w:rFonts w:ascii="함초롬돋움" w:eastAsia="함초롬돋움"/>
          <w:b/>
          <w:color w:val="787878"/>
          <w:sz w:val="40"/>
        </w:rPr>
        <w:t>이    름 : 김신욱</w:t>
      </w:r>
    </w:p>
    <w:p>
      <w:pPr>
        <w:pStyle w:val="0"/>
        <w:widowControl w:val="off"/>
        <w:ind w:left="5400" w:right="1106"/>
      </w:pPr>
      <w:r>
        <w:rPr>
          <w:rFonts w:ascii="함초롬돋움" w:eastAsia="함초롬돋움"/>
          <w:b/>
          <w:color w:val="787878"/>
          <w:sz w:val="40"/>
        </w:rPr>
        <w:t>제출일자 : 2023-03-31</w:t>
      </w:r>
    </w:p>
    <w:p>
      <w:pPr>
        <w:pStyle w:val="0"/>
        <w:widowControl w:val="off"/>
        <w:wordWrap w:val="1"/>
        <w:ind w:right="606"/>
        <w:jc w:val="right"/>
        <w:rPr>
          <w:rFonts w:ascii="함초롬돋움" w:eastAsia="함초롬돋움"/>
          <w:color w:val="787878"/>
        </w:rPr>
        <w:sectPr>
          <w:footnotePr>
            <w:numFmt w:val="decimal"/>
            <w:numRestart w:val="continuous"/>
          </w:footnotePr>
          <w:endnotePr>
            <w:pos w:val="docEnd"/>
            <w:numFmt w:val="decimal"/>
            <w:numRestart w:val="continuous"/>
          </w:endnotePr>
          <w:pgSz w:w="11906" w:h="16838"/>
          <w:pgMar w:top="0" w:right="0" w:bottom="0" w:left="0" w:header="0" w:footer="0" w:gutter="0"/>
          <w:cols w:space="0"/>
        </w:sectPr>
      </w:pPr>
    </w:p>
    <w:p>
      <w:pPr>
        <w:pStyle w:val="14"/>
        <w:widowControl w:val="off"/>
      </w:pPr>
      <w:r>
        <w:rPr>
          <w:sz w:val="48"/>
        </w:rPr>
        <w:t>서론</w:t>
      </w:r>
    </w:p>
    <w:p>
      <w:pPr>
        <w:pStyle w:val="14"/>
        <w:widowControl w:val="off"/>
        <w:rPr/>
      </w:pPr>
    </w:p>
    <w:p>
      <w:pPr>
        <w:pStyle w:val="14"/>
        <w:widowControl w:val="off"/>
      </w:pPr>
      <w:r>
        <w:rPr>
          <w:sz w:val="22"/>
        </w:rPr>
        <w:t xml:space="preserve">  1969년 ARPNET에서 시초가되어 1990년대 팀버너스리를 비롯한 연구기관 및 국제단체(ANSI나 OSI 및 학술기관및 대학)에 의해 HTML과 WWW이 등장하고 PC간에 거미줄처럼 연결된 WWW을 통해 HTTP, TCP/IP 통신 프로토콜을 사용하여 사용자간에 채팅을 하거나 국경을 뛰어넘어 소통을 할 수 있었다. 방송과 인터넷을 생각해봤을때만 하더라도 현재에는 통신사에서 제공해주는 영화나 드라마 등을 시청하고 실시간으로 방송을 보고 채팅을 할 수 있는 환경이 제공되어지는 쌍방향 통신환경이 구축 되어짐으로 보다 풍부한 컨텐츠를 스마트TV와 스마트폰이나 PC, 테블릿 등등에서 인터넷으로 즐기 수 있게 되었고 소셜미디어와 같은 플렛폼(초창기 UCC제작을 하고 올릴 수있었던 판도라의 TV 나 해외의 유튜브, 트위치 국내의 아프리카TV)을 통해 개인 방송국을 운영하고 소통할 수 도 있게 되었다. 뿐만 아니라 보잉항공사의 HUB를 시초로 AR GLASS나 VR GLASS가 등장 하고 다양한 IoT 관련 기기나 이를 활용해서 등장하는 스마트카 스마트홈등 통신관련 장치와 제품들은 무수히 많이 생산 되어지고 사물과 연결 되어지면서 디지털 시대를 지나 초연결 사회에 살아가고 있다고 해도 될 것이다. </w:t>
      </w:r>
      <w:r>
        <w:rPr>
          <w:b/>
          <w:sz w:val="22"/>
        </w:rPr>
        <w:t>이번 총괄 과제를 하게되면서 4차산업 혁명에 있어서 빠질 수 없는 IoT와 빅데이터 클라우드와 관련된 인터넷 서비스 관련 기술중 하나인 지능형 항만 물류 기술에 대해 알아 보고 앞으로 인터넷 서비스 관련 기술들이 어떻게 발전하고 응용 될지 생각해보기로 하였다.</w:t>
      </w:r>
    </w:p>
    <w:p>
      <w:pPr>
        <w:pStyle w:val="14"/>
        <w:widowControl w:val="off"/>
        <w:rPr/>
      </w:pPr>
    </w:p>
    <w:p>
      <w:pPr>
        <w:pStyle w:val="14"/>
        <w:widowControl w:val="off"/>
        <w:rPr>
          <w:color w:val="000000"/>
          <w:sz w:val="48"/>
        </w:rPr>
      </w:pPr>
    </w:p>
    <w:p>
      <w:pPr>
        <w:pStyle w:val="14"/>
        <w:widowControl w:val="off"/>
      </w:pPr>
      <w:r>
        <w:rPr>
          <w:sz w:val="48"/>
        </w:rPr>
        <w:t>본론</w:t>
      </w:r>
    </w:p>
    <w:p>
      <w:pPr>
        <w:pStyle w:val="14"/>
        <w:widowControl w:val="off"/>
        <w:rPr/>
      </w:pPr>
    </w:p>
    <w:p>
      <w:pPr>
        <w:pStyle w:val="14"/>
        <w:widowControl w:val="off"/>
      </w:pPr>
      <w:r>
        <w:rPr>
          <w:b/>
        </w:rPr>
        <w:t>우선 인터넷 기술과 관련이 있는 IoT와 빅데이터 그리고 클라우드가 사전적 정의를 살펴보자.</w:t>
      </w:r>
    </w:p>
    <w:p>
      <w:pPr>
        <w:pStyle w:val="14"/>
        <w:widowControl w:val="off"/>
      </w:pPr>
      <w:r>
        <w:pict>
          <v:rect id="_x1176961741" style="v-text-anchor:middle;width:442.03pt;height:118.34pt;mso-wrap-style:square;" o:hralign="left" o:allowincell="f" o:insetmode="custom" strokeweight="0.33pt" fillcolor="#f2f2f2" o:connectortype="straight">
            <wvml:wrap type="topAndBottom"/>
            <v:stroke/>
            <v:fill opacity="1.00" color2="#000000"/>
            <v:textbox style="mso-fit-shape-to-text:t;" inset="5mm,5mm,5mm,5mm">
              <w:txbxContent>
                <w:p>
                  <w:pPr>
                    <w:pStyle w:val="15"/>
                    <w:widowControl w:val="off"/>
                  </w:pPr>
                  <w:r>
                    <w:rPr/>
                    <w:t>사물인터넷(IoT) : 인터넷을 기반으로 모든 사물을 연결하여 정보를 상호 소통하는 지능형 기술 및 서비스 - 네이버 지식백과</w:t>
                  </w:r>
                </w:p>
                <w:p>
                  <w:pPr>
                    <w:pStyle w:val="15"/>
                    <w:widowControl w:val="off"/>
                  </w:pPr>
                  <w:r>
                    <w:rPr/>
                    <w:t>빅데이터 : 정형 반정형 비정형 데이터 세트의 집적물, 그리고 이로부터 경제적 가치를 추출 및 분석할 수 있는 기술 - 네이버 지식백과</w:t>
                  </w:r>
                </w:p>
                <w:p>
                  <w:pPr>
                    <w:pStyle w:val="15"/>
                    <w:widowControl w:val="off"/>
                  </w:pPr>
                  <w:r>
                    <w:rPr/>
                    <w:t>클라우드 : 소프트웨어와 데이터를 인터넷과 연결된 중앙 컴퓨터에 저장, 인터넷에 접속하기만 하면 언제 어디서든 데이터를 이용할 수  있도록 하는 것 - 네이버 지식백과</w:t>
                  </w:r>
                </w:p>
              </w:txbxContent>
            </v:textbox>
          </v:rect>
        </w:pict>
      </w:r>
    </w:p>
    <w:p>
      <w:pPr>
        <w:pStyle w:val="14"/>
        <w:widowControl w:val="off"/>
        <w:rPr/>
      </w:pPr>
    </w:p>
    <w:p>
      <w:pPr>
        <w:pStyle w:val="14"/>
        <w:widowControl w:val="off"/>
      </w:pPr>
      <w:r>
        <w:rPr>
          <w:sz w:val="22"/>
        </w:rPr>
        <w:t xml:space="preserve">  사물인터넷과 빅데이터 그리고 클라우드를 통한 인터넷과 IT기술의 활용 그리고 축척되있던 정형 비정형 데이터를 분석하고 다룰 수 있다면 얻을 수 있는 점들을 생각해보았을때 축척되있던 자료들을 활용해서 사고 분석을 하고 예측을 할 수 있을 것이고 센싱 기술(측정)을 활용 한다면 실시간 사고를 사전에 방지한다거나 불법 사용자나 무단 침입자를 차단 할 수 있을 것이며 데이터를 안전하게 보관하고 관리 할 수 있을 것이다.</w:t>
      </w:r>
    </w:p>
    <w:p>
      <w:pPr>
        <w:pStyle w:val="14"/>
        <w:widowControl w:val="off"/>
        <w:rPr>
          <w:b/>
          <w:color w:val="000000"/>
        </w:rPr>
      </w:pPr>
    </w:p>
    <w:p>
      <w:pPr>
        <w:pStyle w:val="14"/>
        <w:widowControl w:val="off"/>
        <w:rPr>
          <w:b/>
          <w:color w:val="000000"/>
        </w:rPr>
      </w:pPr>
    </w:p>
    <w:p>
      <w:pPr>
        <w:pStyle w:val="14"/>
        <w:widowControl w:val="off"/>
      </w:pPr>
      <w:r>
        <w:rPr>
          <w:b/>
          <w:sz w:val="22"/>
        </w:rPr>
        <w:t>그렇다면 지능형 항만 물류 기술에 대해 살펴보자.</w:t>
      </w:r>
    </w:p>
    <w:p>
      <w:pPr>
        <w:pStyle w:val="14"/>
        <w:widowControl w:val="off"/>
        <w:rPr>
          <w:b/>
          <w:color w:val="000000"/>
          <w:sz w:val="22"/>
        </w:rPr>
      </w:pPr>
    </w:p>
    <w:p>
      <w:pPr>
        <w:pStyle w:val="14"/>
        <w:widowControl w:val="off"/>
      </w:pPr>
      <w:r>
        <w:rPr>
          <w:sz w:val="22"/>
        </w:rPr>
        <w:t xml:space="preserve">  IoT를 활용한 스마트 항만에 대한 기술들을 살펴보자면 한국 해양 수산부 공식 블로그를 통해 살펴보면 크게 3가지 기술로 구성됨을 알 수 있다.</w:t>
      </w:r>
    </w:p>
    <w:p>
      <w:pPr>
        <w:pStyle w:val="14"/>
        <w:widowControl w:val="off"/>
        <w:rPr/>
      </w:pPr>
    </w:p>
    <w:p>
      <w:pPr>
        <w:pStyle w:val="14"/>
        <w:widowControl w:val="off"/>
      </w:pPr>
      <w:r>
        <w:pict>
          <v:rect id="_x1176961743" style="v-text-anchor:middle;width:442.48pt;height:262.34pt;mso-wrap-style:square;" o:hralign="left" o:allowincell="f" o:insetmode="custom" strokeweight="0.33pt" fillcolor="#f2f2f2" o:connectortype="straight">
            <wvml:wrap type="topAndBottom"/>
            <v:stroke/>
            <v:fill opacity="1.00" color2="#000000"/>
            <v:textbox style="mso-fit-shape-to-text:t;" inset="5mm,5mm,5mm,5mm">
              <w:txbxContent>
                <w:p>
                  <w:pPr>
                    <w:pStyle w:val="14"/>
                    <w:widowControl w:val="off"/>
                  </w:pPr>
                  <w:r>
                    <w:rPr/>
                    <w:t xml:space="preserve">  첫째, 스마트 항만 IoT 인프라 구축기술</w:t>
                  </w:r>
                </w:p>
                <w:p>
                  <w:pPr>
                    <w:pStyle w:val="14"/>
                    <w:widowControl w:val="off"/>
                  </w:pPr>
                  <w:r>
                    <w:rPr/>
                    <w:t>IoT디바이스(작업자용, 항만 장비용, 지능형CCTV) 및 IoT 통신 인프라(항만용 Private LTE망 및 IoT 전용망)를 통해 항만 정보수집</w:t>
                  </w:r>
                </w:p>
                <w:p>
                  <w:pPr>
                    <w:pStyle w:val="14"/>
                    <w:widowControl w:val="off"/>
                  </w:pPr>
                  <w:r>
                    <w:rPr/>
                    <w:t>수집된 정보를 실시간으로 처리하는 항만 IoT플랫폼 개발</w:t>
                  </w:r>
                </w:p>
                <w:p>
                  <w:pPr>
                    <w:pStyle w:val="14"/>
                    <w:widowControl w:val="off"/>
                    <w:rPr/>
                  </w:pPr>
                </w:p>
                <w:p>
                  <w:pPr>
                    <w:pStyle w:val="14"/>
                    <w:widowControl w:val="off"/>
                  </w:pPr>
                  <w:r>
                    <w:rPr/>
                    <w:t xml:space="preserve">  둘쨰, 스마트 항만 IoT융합 응용기술</w:t>
                  </w:r>
                </w:p>
                <w:p>
                  <w:pPr>
                    <w:pStyle w:val="14"/>
                    <w:widowControl w:val="off"/>
                  </w:pPr>
                  <w:r>
                    <w:rPr/>
                    <w:t>인공지능 및 클라우드 기반의 스마트 터미널 운영시스템 개발</w:t>
                  </w:r>
                </w:p>
                <w:p>
                  <w:pPr>
                    <w:pStyle w:val="14"/>
                    <w:widowControl w:val="off"/>
                  </w:pPr>
                  <w:r>
                    <w:rPr/>
                    <w:t>스마트 통합 안전관리 시스템 구축</w:t>
                  </w:r>
                </w:p>
                <w:p>
                  <w:pPr>
                    <w:pStyle w:val="14"/>
                    <w:widowControl w:val="off"/>
                    <w:rPr/>
                  </w:pPr>
                </w:p>
                <w:p>
                  <w:pPr>
                    <w:pStyle w:val="14"/>
                    <w:widowControl w:val="off"/>
                  </w:pPr>
                  <w:r>
                    <w:rPr/>
                    <w:t xml:space="preserve">  셋째, 항만 물류자원 공유플랫폼 기술 개발</w:t>
                  </w:r>
                </w:p>
                <w:p>
                  <w:pPr>
                    <w:pStyle w:val="14"/>
                    <w:widowControl w:val="off"/>
                  </w:pPr>
                  <w:r>
                    <w:rPr/>
                    <w:t>항만 물류자원(샷시, 공컨)의 부족 잉여 해소를 지원하는 항만 물류 지원 공유 플랫폼 기술 개발</w:t>
                  </w:r>
                </w:p>
                <w:p>
                  <w:pPr>
                    <w:pStyle w:val="14"/>
                    <w:widowControl w:val="off"/>
                  </w:pPr>
                  <w:r>
                    <w:rPr/>
                    <w:t>항만-내륙물류(트럭)간 최적 연계 체계 구축</w:t>
                  </w:r>
                </w:p>
                <w:p>
                  <w:pPr>
                    <w:pStyle w:val="14"/>
                    <w:widowControl w:val="off"/>
                    <w:rPr/>
                  </w:pPr>
                </w:p>
                <w:p>
                  <w:pPr>
                    <w:pStyle w:val="14"/>
                    <w:widowControl w:val="off"/>
                    <w:wordWrap w:val="1"/>
                    <w:jc w:val="right"/>
                  </w:pPr>
                  <w:r>
                    <w:rPr/>
                    <w:t>- 한국 해양 수산부 공식블로그(부산대학교와, KRISO연구단체)</w:t>
                  </w:r>
                </w:p>
              </w:txbxContent>
            </v:textbox>
          </v:rect>
        </w:pict>
      </w:r>
    </w:p>
    <w:p>
      <w:pPr>
        <w:pStyle w:val="14"/>
        <w:widowControl w:val="off"/>
        <w:rPr/>
      </w:pPr>
    </w:p>
    <w:p>
      <w:pPr>
        <w:pStyle w:val="14"/>
        <w:widowControl w:val="off"/>
      </w:pPr>
      <w:r>
        <w:rPr>
          <w:sz w:val="22"/>
        </w:rPr>
        <w:t xml:space="preserve">  기술들을 살펴보고 생각해봤을때 사내의 테블릿과 스마트폰 어플리케이션 및 디바이스(AR장비, 위치추적이가능한 안전모)를 통해 물류자원을 공유하여 물류의 유통을 원활하게 지원하고 센싱기술과 클라우드 빅데이터를 활용해서 사고를 예측 방지와 작업자의 안전을 보장해주고 실시간 모니터링작업의 원격화로 작업의 효율성을 높여준 사례라고 생각된다. 이외에도 아직 Ipv4가 일반적이고 보편적인 상황이지만 보안적인 측면이나 이동성측면 그리고 편재성 인구수의 증가에 따른 인터넷 보급률을 생각해본다면 Ipv6(46억 x 46억 x 46억 x 46억개 이상의 주소할당가능, 128bit)를 활용한 5G인터넷도 근미래 혹은 원미래에 있어서 필요한 부분일 것이라고 생각한다.</w:t>
      </w:r>
    </w:p>
    <w:p>
      <w:pPr>
        <w:pStyle w:val="14"/>
        <w:widowControl w:val="off"/>
        <w:rPr/>
      </w:pPr>
    </w:p>
    <w:p>
      <w:pPr>
        <w:pStyle w:val="14"/>
        <w:widowControl w:val="off"/>
        <w:wordWrap w:val="1"/>
        <w:jc w:val="center"/>
        <w:rPr/>
      </w:pPr>
    </w:p>
    <w:p>
      <w:pPr>
        <w:pStyle w:val="14"/>
        <w:widowControl w:val="off"/>
        <w:wordWrap w:val="1"/>
        <w:jc w:val="left"/>
      </w:pPr>
      <w:r>
        <w:rPr/>
        <w:t>- 그림1 한국 해양 수산부 공식블로그</w:t>
      </w:r>
    </w:p>
    <w:p>
      <w:pPr>
        <w:pStyle w:val="14"/>
        <w:widowControl w:val="off"/>
      </w:pPr>
      <w:r>
        <w:drawing>
          <wp:inline distT="0" distB="0" distL="0" distR="0">
            <wp:extent cx="3950462" cy="1941195"/>
            <wp:effectExtent l="241808" t="165608" r="241808" b="318008"/>
            <wp:docPr id="1" name="그림 %d 1"/>
            <wp:cNvGraphicFramePr/>
            <a:graphic>
              <a:graphicData uri="http://schemas.openxmlformats.org/drawingml/2006/picture">
                <pic:pic>
                  <pic:nvPicPr>
                    <pic:cNvPr id="0" name="C:\Users\shinw\AppData\Local\Temp\Hnc\BinData\EMB000040980302.bmp"/>
                    <pic:cNvPicPr/>
                  </pic:nvPicPr>
                  <pic:blipFill>
                    <a:blip r:embed="rId2"/>
                    <a:stretch>
                      <a:fillRect/>
                    </a:stretch>
                  </pic:blipFill>
                  <pic:spPr>
                    <a:xfrm>
                      <a:off x="0" y="0"/>
                      <a:ext cx="3950462" cy="1941195"/>
                    </a:xfrm>
                    <a:prstGeom prst="rect">
                      <a:avLst/>
                    </a:prstGeom>
                    <a:ln w="107950" cap="sq" cmpd="sng">
                      <a:solidFill>
                        <a:srgbClr val="ffffff"/>
                      </a:solidFill>
                      <a:prstDash val="solid"/>
                      <a:miter lim="800000"/>
                    </a:ln>
                    <a:effectLst>
                      <a:outerShdw blurRad="127000" dist="76200" dir="5400000" rotWithShape="0">
                        <a:srgbClr val="000000">
                          <a:alpha val="50000"/>
                        </a:srgbClr>
                      </a:outerShdw>
                    </a:effectLst>
                  </pic:spPr>
                </pic:pic>
              </a:graphicData>
            </a:graphic>
          </wp:inline>
        </w:drawing>
      </w:r>
    </w:p>
    <w:p>
      <w:pPr>
        <w:pStyle w:val="14"/>
        <w:widowControl w:val="off"/>
        <w:rPr>
          <w:b/>
          <w:color w:val="000000"/>
          <w:sz w:val="22"/>
        </w:rPr>
      </w:pPr>
    </w:p>
    <w:p>
      <w:pPr>
        <w:pStyle w:val="14"/>
        <w:widowControl w:val="off"/>
      </w:pPr>
      <w:r>
        <w:rPr>
          <w:b/>
          <w:sz w:val="22"/>
        </w:rPr>
        <w:t>다음으로 IoT 산업과 관련된 통계자료를 살펴보고 데이터를 활용하여 차트와 표를 작성 해보았다.</w:t>
      </w:r>
    </w:p>
    <w:p>
      <w:pPr>
        <w:pStyle w:val="14"/>
        <w:widowControl w:val="off"/>
        <w:rPr>
          <w:b/>
          <w:color w:val="000000"/>
          <w:sz w:val="22"/>
        </w:rPr>
      </w:pPr>
    </w:p>
    <w:tbl>
      <w:tblPr>
        <w:tblOverlap w:val="never"/>
        <w:tblW w:w="839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720"/>
        <w:gridCol w:w="852"/>
        <w:gridCol w:w="796"/>
        <w:gridCol w:w="1022"/>
      </w:tblGrid>
      <w:tr>
        <w:trPr>
          <w:trHeight w:val="56"/>
        </w:trPr>
        <w:tc>
          <w:tcPr>
            <w:tcW w:w="5720" w:type="dxa"/>
            <w:tcBorders>
              <w:top w:val="single" w:color="000000" w:sz="3"/>
              <w:left w:val="single" w:color="000000" w:sz="3"/>
              <w:bottom w:val="single" w:color="000000" w:sz="3"/>
              <w:right w:val="single" w:color="000000" w:sz="3"/>
            </w:tcBorders>
            <w:vAlign w:val="center"/>
          </w:tcPr>
          <w:p>
            <w:pPr>
              <w:pStyle w:val="14"/>
              <w:widowControl w:val="off"/>
              <w:wordWrap w:val="1"/>
              <w:jc w:val="center"/>
            </w:pPr>
            <w:r>
              <w:rPr/>
              <w:t>산업분야별(1)</w:t>
            </w:r>
          </w:p>
        </w:tc>
        <w:tc>
          <w:tcPr>
            <w:tcW w:w="852" w:type="dxa"/>
            <w:tcBorders>
              <w:top w:val="single" w:color="000000" w:sz="3"/>
              <w:left w:val="single" w:color="000000" w:sz="3"/>
              <w:bottom w:val="single" w:color="000000" w:sz="3"/>
              <w:right w:val="single" w:color="000000" w:sz="3"/>
            </w:tcBorders>
            <w:vAlign w:val="center"/>
          </w:tcPr>
          <w:p>
            <w:pPr>
              <w:pStyle w:val="14"/>
              <w:widowControl w:val="off"/>
              <w:wordWrap w:val="1"/>
              <w:jc w:val="center"/>
            </w:pPr>
            <w:r>
              <w:rPr/>
              <w:t>2019</w:t>
            </w:r>
          </w:p>
        </w:tc>
        <w:tc>
          <w:tcPr>
            <w:tcW w:w="796" w:type="dxa"/>
            <w:tcBorders>
              <w:top w:val="single" w:color="000000" w:sz="3"/>
              <w:left w:val="single" w:color="000000" w:sz="3"/>
              <w:bottom w:val="single" w:color="000000" w:sz="3"/>
              <w:right w:val="single" w:color="000000" w:sz="3"/>
            </w:tcBorders>
            <w:vAlign w:val="center"/>
          </w:tcPr>
          <w:p>
            <w:pPr>
              <w:pStyle w:val="14"/>
              <w:widowControl w:val="off"/>
              <w:wordWrap w:val="1"/>
              <w:jc w:val="center"/>
            </w:pPr>
            <w:r>
              <w:rPr/>
              <w:t>2020</w:t>
            </w:r>
          </w:p>
        </w:tc>
        <w:tc>
          <w:tcPr>
            <w:tcW w:w="1022" w:type="dxa"/>
            <w:tcBorders>
              <w:top w:val="single" w:color="000000" w:sz="3"/>
              <w:left w:val="single" w:color="000000" w:sz="3"/>
              <w:bottom w:val="single" w:color="000000" w:sz="3"/>
              <w:right w:val="single" w:color="000000" w:sz="3"/>
            </w:tcBorders>
            <w:vAlign w:val="center"/>
          </w:tcPr>
          <w:p>
            <w:pPr>
              <w:pStyle w:val="14"/>
              <w:widowControl w:val="off"/>
              <w:wordWrap w:val="1"/>
              <w:jc w:val="center"/>
            </w:pPr>
            <w:r>
              <w:rPr/>
              <w:t>2021</w:t>
            </w:r>
          </w:p>
        </w:tc>
      </w:tr>
      <w:tr>
        <w:trPr>
          <w:trHeight w:val="56"/>
        </w:trPr>
        <w:tc>
          <w:tcPr>
            <w:tcW w:w="5720" w:type="dxa"/>
            <w:tcBorders>
              <w:top w:val="single" w:color="000000" w:sz="3"/>
              <w:left w:val="single" w:color="000000" w:sz="3"/>
              <w:bottom w:val="single" w:color="000000" w:sz="3"/>
              <w:right w:val="single" w:color="000000" w:sz="3"/>
            </w:tcBorders>
            <w:vAlign w:val="center"/>
          </w:tcPr>
          <w:p>
            <w:pPr>
              <w:pStyle w:val="14"/>
              <w:widowControl w:val="off"/>
            </w:pPr>
            <w:r>
              <w:rPr/>
              <w:t>보건업 및 사회복지 서비스업</w:t>
            </w:r>
          </w:p>
        </w:tc>
        <w:tc>
          <w:tcPr>
            <w:tcW w:w="85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16.3</w:t>
            </w:r>
          </w:p>
        </w:tc>
        <w:tc>
          <w:tcPr>
            <w:tcW w:w="796"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16.3</w:t>
            </w:r>
          </w:p>
        </w:tc>
        <w:tc>
          <w:tcPr>
            <w:tcW w:w="102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16.0</w:t>
            </w:r>
          </w:p>
        </w:tc>
      </w:tr>
      <w:tr>
        <w:trPr>
          <w:trHeight w:val="56"/>
        </w:trPr>
        <w:tc>
          <w:tcPr>
            <w:tcW w:w="5720" w:type="dxa"/>
            <w:tcBorders>
              <w:top w:val="single" w:color="000000" w:sz="3"/>
              <w:left w:val="single" w:color="000000" w:sz="3"/>
              <w:bottom w:val="single" w:color="000000" w:sz="3"/>
              <w:right w:val="single" w:color="000000" w:sz="3"/>
            </w:tcBorders>
            <w:vAlign w:val="center"/>
          </w:tcPr>
          <w:p>
            <w:pPr>
              <w:pStyle w:val="14"/>
              <w:widowControl w:val="off"/>
            </w:pPr>
            <w:r>
              <w:rPr/>
              <w:t>금융 및 보험업</w:t>
            </w:r>
          </w:p>
        </w:tc>
        <w:tc>
          <w:tcPr>
            <w:tcW w:w="85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12.8</w:t>
            </w:r>
          </w:p>
        </w:tc>
        <w:tc>
          <w:tcPr>
            <w:tcW w:w="796"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10.4</w:t>
            </w:r>
          </w:p>
        </w:tc>
        <w:tc>
          <w:tcPr>
            <w:tcW w:w="102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9.9</w:t>
            </w:r>
          </w:p>
        </w:tc>
      </w:tr>
      <w:tr>
        <w:trPr>
          <w:trHeight w:val="56"/>
        </w:trPr>
        <w:tc>
          <w:tcPr>
            <w:tcW w:w="5720" w:type="dxa"/>
            <w:tcBorders>
              <w:top w:val="single" w:color="000000" w:sz="3"/>
              <w:left w:val="single" w:color="000000" w:sz="3"/>
              <w:bottom w:val="single" w:color="000000" w:sz="3"/>
              <w:right w:val="single" w:color="000000" w:sz="3"/>
            </w:tcBorders>
            <w:vAlign w:val="center"/>
          </w:tcPr>
          <w:p>
            <w:pPr>
              <w:pStyle w:val="14"/>
              <w:widowControl w:val="off"/>
            </w:pPr>
            <w:r>
              <w:rPr/>
              <w:t>전기/가스/증기/수도산업</w:t>
            </w:r>
          </w:p>
        </w:tc>
        <w:tc>
          <w:tcPr>
            <w:tcW w:w="85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12.5</w:t>
            </w:r>
          </w:p>
        </w:tc>
        <w:tc>
          <w:tcPr>
            <w:tcW w:w="796"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12.6</w:t>
            </w:r>
          </w:p>
        </w:tc>
        <w:tc>
          <w:tcPr>
            <w:tcW w:w="102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12.4</w:t>
            </w:r>
          </w:p>
        </w:tc>
      </w:tr>
      <w:tr>
        <w:trPr>
          <w:trHeight w:val="56"/>
        </w:trPr>
        <w:tc>
          <w:tcPr>
            <w:tcW w:w="5720" w:type="dxa"/>
            <w:tcBorders>
              <w:top w:val="single" w:color="000000" w:sz="3"/>
              <w:left w:val="single" w:color="000000" w:sz="3"/>
              <w:bottom w:val="single" w:color="000000" w:sz="3"/>
              <w:right w:val="single" w:color="000000" w:sz="3"/>
            </w:tcBorders>
            <w:vAlign w:val="center"/>
          </w:tcPr>
          <w:p>
            <w:pPr>
              <w:pStyle w:val="14"/>
              <w:widowControl w:val="off"/>
            </w:pPr>
            <w:r>
              <w:rPr/>
              <w:t>제조업</w:t>
            </w:r>
          </w:p>
        </w:tc>
        <w:tc>
          <w:tcPr>
            <w:tcW w:w="85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9.8</w:t>
            </w:r>
          </w:p>
        </w:tc>
        <w:tc>
          <w:tcPr>
            <w:tcW w:w="796"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9.9</w:t>
            </w:r>
          </w:p>
        </w:tc>
        <w:tc>
          <w:tcPr>
            <w:tcW w:w="102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10.6</w:t>
            </w:r>
          </w:p>
        </w:tc>
      </w:tr>
      <w:tr>
        <w:trPr>
          <w:trHeight w:val="56"/>
        </w:trPr>
        <w:tc>
          <w:tcPr>
            <w:tcW w:w="5720" w:type="dxa"/>
            <w:tcBorders>
              <w:top w:val="single" w:color="000000" w:sz="3"/>
              <w:left w:val="single" w:color="000000" w:sz="3"/>
              <w:bottom w:val="single" w:color="000000" w:sz="3"/>
              <w:right w:val="single" w:color="000000" w:sz="3"/>
            </w:tcBorders>
            <w:vAlign w:val="center"/>
          </w:tcPr>
          <w:p>
            <w:pPr>
              <w:pStyle w:val="14"/>
              <w:widowControl w:val="off"/>
            </w:pPr>
            <w:r>
              <w:rPr/>
              <w:t>산업 플랜트 건설업</w:t>
            </w:r>
          </w:p>
        </w:tc>
        <w:tc>
          <w:tcPr>
            <w:tcW w:w="85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8.9</w:t>
            </w:r>
          </w:p>
        </w:tc>
        <w:tc>
          <w:tcPr>
            <w:tcW w:w="796"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8.2</w:t>
            </w:r>
          </w:p>
        </w:tc>
        <w:tc>
          <w:tcPr>
            <w:tcW w:w="102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7.5</w:t>
            </w:r>
          </w:p>
        </w:tc>
      </w:tr>
      <w:tr>
        <w:trPr>
          <w:trHeight w:val="56"/>
        </w:trPr>
        <w:tc>
          <w:tcPr>
            <w:tcW w:w="5720" w:type="dxa"/>
            <w:tcBorders>
              <w:top w:val="single" w:color="000000" w:sz="3"/>
              <w:left w:val="single" w:color="000000" w:sz="3"/>
              <w:bottom w:val="single" w:color="000000" w:sz="3"/>
              <w:right w:val="single" w:color="000000" w:sz="3"/>
            </w:tcBorders>
            <w:vAlign w:val="center"/>
          </w:tcPr>
          <w:p>
            <w:pPr>
              <w:pStyle w:val="14"/>
              <w:widowControl w:val="off"/>
            </w:pPr>
            <w:r>
              <w:rPr/>
              <w:t>농업,임업 및 어업, 광업</w:t>
            </w:r>
          </w:p>
        </w:tc>
        <w:tc>
          <w:tcPr>
            <w:tcW w:w="85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8.8</w:t>
            </w:r>
          </w:p>
        </w:tc>
        <w:tc>
          <w:tcPr>
            <w:tcW w:w="796"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9.3</w:t>
            </w:r>
          </w:p>
        </w:tc>
        <w:tc>
          <w:tcPr>
            <w:tcW w:w="102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9.8</w:t>
            </w:r>
          </w:p>
        </w:tc>
      </w:tr>
      <w:tr>
        <w:trPr>
          <w:trHeight w:val="56"/>
        </w:trPr>
        <w:tc>
          <w:tcPr>
            <w:tcW w:w="5720" w:type="dxa"/>
            <w:tcBorders>
              <w:top w:val="single" w:color="000000" w:sz="3"/>
              <w:left w:val="single" w:color="000000" w:sz="3"/>
              <w:bottom w:val="single" w:color="000000" w:sz="3"/>
              <w:right w:val="single" w:color="000000" w:sz="3"/>
            </w:tcBorders>
            <w:vAlign w:val="center"/>
          </w:tcPr>
          <w:p>
            <w:pPr>
              <w:pStyle w:val="14"/>
              <w:widowControl w:val="off"/>
            </w:pPr>
            <w:r>
              <w:rPr/>
              <w:t>교육서비스업</w:t>
            </w:r>
          </w:p>
        </w:tc>
        <w:tc>
          <w:tcPr>
            <w:tcW w:w="85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8.4</w:t>
            </w:r>
          </w:p>
        </w:tc>
        <w:tc>
          <w:tcPr>
            <w:tcW w:w="796"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9.9</w:t>
            </w:r>
          </w:p>
        </w:tc>
        <w:tc>
          <w:tcPr>
            <w:tcW w:w="102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10.0</w:t>
            </w:r>
          </w:p>
        </w:tc>
      </w:tr>
      <w:tr>
        <w:trPr>
          <w:trHeight w:val="56"/>
        </w:trPr>
        <w:tc>
          <w:tcPr>
            <w:tcW w:w="5720" w:type="dxa"/>
            <w:tcBorders>
              <w:top w:val="single" w:color="000000" w:sz="3"/>
              <w:left w:val="single" w:color="000000" w:sz="3"/>
              <w:bottom w:val="single" w:color="000000" w:sz="3"/>
              <w:right w:val="single" w:color="000000" w:sz="3"/>
            </w:tcBorders>
            <w:vAlign w:val="center"/>
          </w:tcPr>
          <w:p>
            <w:pPr>
              <w:pStyle w:val="14"/>
              <w:widowControl w:val="off"/>
            </w:pPr>
            <w:r>
              <w:rPr/>
              <w:t>공공행정 및 국방</w:t>
            </w:r>
          </w:p>
        </w:tc>
        <w:tc>
          <w:tcPr>
            <w:tcW w:w="85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5.7</w:t>
            </w:r>
          </w:p>
        </w:tc>
        <w:tc>
          <w:tcPr>
            <w:tcW w:w="796"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5.4</w:t>
            </w:r>
          </w:p>
        </w:tc>
        <w:tc>
          <w:tcPr>
            <w:tcW w:w="102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5.2</w:t>
            </w:r>
          </w:p>
        </w:tc>
      </w:tr>
      <w:tr>
        <w:trPr>
          <w:trHeight w:val="56"/>
        </w:trPr>
        <w:tc>
          <w:tcPr>
            <w:tcW w:w="5720" w:type="dxa"/>
            <w:tcBorders>
              <w:top w:val="single" w:color="000000" w:sz="3"/>
              <w:left w:val="single" w:color="000000" w:sz="3"/>
              <w:bottom w:val="single" w:color="000000" w:sz="3"/>
              <w:right w:val="single" w:color="000000" w:sz="3"/>
            </w:tcBorders>
            <w:vAlign w:val="center"/>
          </w:tcPr>
          <w:p>
            <w:pPr>
              <w:pStyle w:val="14"/>
              <w:widowControl w:val="off"/>
            </w:pPr>
            <w:r>
              <w:rPr/>
              <w:t>건설업</w:t>
            </w:r>
          </w:p>
        </w:tc>
        <w:tc>
          <w:tcPr>
            <w:tcW w:w="85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5.2</w:t>
            </w:r>
          </w:p>
        </w:tc>
        <w:tc>
          <w:tcPr>
            <w:tcW w:w="796"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4.8</w:t>
            </w:r>
          </w:p>
        </w:tc>
        <w:tc>
          <w:tcPr>
            <w:tcW w:w="102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4.6</w:t>
            </w:r>
          </w:p>
        </w:tc>
      </w:tr>
      <w:tr>
        <w:trPr>
          <w:trHeight w:val="56"/>
        </w:trPr>
        <w:tc>
          <w:tcPr>
            <w:tcW w:w="5720" w:type="dxa"/>
            <w:tcBorders>
              <w:top w:val="single" w:color="000000" w:sz="3"/>
              <w:left w:val="single" w:color="000000" w:sz="3"/>
              <w:bottom w:val="single" w:color="000000" w:sz="3"/>
              <w:right w:val="single" w:color="000000" w:sz="3"/>
            </w:tcBorders>
            <w:vAlign w:val="center"/>
          </w:tcPr>
          <w:p>
            <w:pPr>
              <w:pStyle w:val="14"/>
              <w:widowControl w:val="off"/>
            </w:pPr>
            <w:r>
              <w:rPr/>
              <w:t>하수폐기물 처리, 원료재생 및 환경복원업</w:t>
            </w:r>
          </w:p>
        </w:tc>
        <w:tc>
          <w:tcPr>
            <w:tcW w:w="85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4.8</w:t>
            </w:r>
          </w:p>
        </w:tc>
        <w:tc>
          <w:tcPr>
            <w:tcW w:w="796"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4.7</w:t>
            </w:r>
          </w:p>
        </w:tc>
        <w:tc>
          <w:tcPr>
            <w:tcW w:w="102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4.5</w:t>
            </w:r>
          </w:p>
        </w:tc>
      </w:tr>
      <w:tr>
        <w:trPr>
          <w:trHeight w:val="56"/>
        </w:trPr>
        <w:tc>
          <w:tcPr>
            <w:tcW w:w="5720" w:type="dxa"/>
            <w:tcBorders>
              <w:top w:val="single" w:color="000000" w:sz="3"/>
              <w:left w:val="single" w:color="000000" w:sz="3"/>
              <w:bottom w:val="single" w:color="000000" w:sz="3"/>
              <w:right w:val="single" w:color="000000" w:sz="3"/>
            </w:tcBorders>
            <w:vAlign w:val="center"/>
          </w:tcPr>
          <w:p>
            <w:pPr>
              <w:pStyle w:val="14"/>
              <w:widowControl w:val="off"/>
            </w:pPr>
            <w:r>
              <w:rPr/>
              <w:t>도매 및 소매업</w:t>
            </w:r>
          </w:p>
        </w:tc>
        <w:tc>
          <w:tcPr>
            <w:tcW w:w="85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2.7</w:t>
            </w:r>
          </w:p>
        </w:tc>
        <w:tc>
          <w:tcPr>
            <w:tcW w:w="796"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3.1</w:t>
            </w:r>
          </w:p>
        </w:tc>
        <w:tc>
          <w:tcPr>
            <w:tcW w:w="102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3.8</w:t>
            </w:r>
          </w:p>
        </w:tc>
      </w:tr>
      <w:tr>
        <w:trPr>
          <w:trHeight w:val="56"/>
        </w:trPr>
        <w:tc>
          <w:tcPr>
            <w:tcW w:w="5720" w:type="dxa"/>
            <w:tcBorders>
              <w:top w:val="single" w:color="000000" w:sz="3"/>
              <w:left w:val="single" w:color="000000" w:sz="3"/>
              <w:bottom w:val="single" w:color="000000" w:sz="3"/>
              <w:right w:val="single" w:color="000000" w:sz="3"/>
            </w:tcBorders>
            <w:vAlign w:val="center"/>
          </w:tcPr>
          <w:p>
            <w:pPr>
              <w:pStyle w:val="14"/>
              <w:widowControl w:val="off"/>
            </w:pPr>
            <w:r>
              <w:rPr/>
              <w:t>예술, 스포츠 및 여가 관련 서비스업</w:t>
            </w:r>
          </w:p>
        </w:tc>
        <w:tc>
          <w:tcPr>
            <w:tcW w:w="85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2.7</w:t>
            </w:r>
          </w:p>
        </w:tc>
        <w:tc>
          <w:tcPr>
            <w:tcW w:w="796"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3.5</w:t>
            </w:r>
          </w:p>
        </w:tc>
        <w:tc>
          <w:tcPr>
            <w:tcW w:w="102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3.6</w:t>
            </w:r>
          </w:p>
        </w:tc>
      </w:tr>
      <w:tr>
        <w:trPr>
          <w:trHeight w:val="56"/>
        </w:trPr>
        <w:tc>
          <w:tcPr>
            <w:tcW w:w="5720" w:type="dxa"/>
            <w:tcBorders>
              <w:top w:val="single" w:color="000000" w:sz="3"/>
              <w:left w:val="single" w:color="000000" w:sz="3"/>
              <w:bottom w:val="single" w:color="000000" w:sz="3"/>
              <w:right w:val="single" w:color="000000" w:sz="3"/>
            </w:tcBorders>
            <w:vAlign w:val="center"/>
          </w:tcPr>
          <w:p>
            <w:pPr>
              <w:pStyle w:val="14"/>
              <w:widowControl w:val="off"/>
            </w:pPr>
            <w:r>
              <w:rPr/>
              <w:t>운수업</w:t>
            </w:r>
          </w:p>
        </w:tc>
        <w:tc>
          <w:tcPr>
            <w:tcW w:w="85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1.5</w:t>
            </w:r>
          </w:p>
        </w:tc>
        <w:tc>
          <w:tcPr>
            <w:tcW w:w="796"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1.8</w:t>
            </w:r>
          </w:p>
        </w:tc>
        <w:tc>
          <w:tcPr>
            <w:tcW w:w="102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1.8</w:t>
            </w:r>
          </w:p>
        </w:tc>
      </w:tr>
      <w:tr>
        <w:trPr>
          <w:trHeight w:val="56"/>
        </w:trPr>
        <w:tc>
          <w:tcPr>
            <w:tcW w:w="5720" w:type="dxa"/>
            <w:tcBorders>
              <w:top w:val="single" w:color="000000" w:sz="3"/>
              <w:left w:val="single" w:color="000000" w:sz="3"/>
              <w:bottom w:val="single" w:color="000000" w:sz="3"/>
              <w:right w:val="single" w:color="000000" w:sz="3"/>
            </w:tcBorders>
            <w:vAlign w:val="center"/>
          </w:tcPr>
          <w:p>
            <w:pPr>
              <w:pStyle w:val="14"/>
              <w:widowControl w:val="off"/>
            </w:pPr>
            <w:r>
              <w:rPr/>
              <w:t>기타</w:t>
            </w:r>
          </w:p>
        </w:tc>
        <w:tc>
          <w:tcPr>
            <w:tcW w:w="85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0.0</w:t>
            </w:r>
          </w:p>
        </w:tc>
        <w:tc>
          <w:tcPr>
            <w:tcW w:w="796"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w:t>
            </w:r>
          </w:p>
        </w:tc>
        <w:tc>
          <w:tcPr>
            <w:tcW w:w="1022"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0.1</w:t>
            </w:r>
          </w:p>
        </w:tc>
      </w:tr>
    </w:tbl>
    <w:p>
      <w:pPr>
        <w:pStyle w:val="14"/>
        <w:widowControl w:val="off"/>
        <w:spacing w:after="160" w:line="360"/>
      </w:pPr>
      <w:r>
        <w:rPr>
          <w:sz w:val="16"/>
        </w:rPr>
        <w:t xml:space="preserve">- 표1  </w:t>
      </w:r>
      <w:r>
        <w:rPr>
          <w:sz w:val="16"/>
        </w:rPr>
        <w:t>「통계청</w:t>
      </w:r>
      <w:r>
        <w:rPr>
          <w:sz w:val="16"/>
        </w:rPr>
        <w:t xml:space="preserve">(KOSIS) - </w:t>
      </w:r>
      <w:r>
        <w:rPr>
          <w:sz w:val="16"/>
        </w:rPr>
        <w:t>「사물인터넷산업실태조사」</w:t>
      </w:r>
      <w:r>
        <w:rPr>
          <w:sz w:val="16"/>
        </w:rPr>
        <w:t>, 과학기술정보통신 통계자료(사물인터넷 도입 확산 가능성이 높은 산업 분야)</w:t>
      </w:r>
      <w:r>
        <w:rPr>
          <w:sz w:val="16"/>
        </w:rPr>
        <w:t>」</w:t>
      </w:r>
    </w:p>
    <w:p>
      <w:pPr>
        <w:pStyle w:val="14"/>
        <w:widowControl w:val="off"/>
      </w:pPr>
    </w:p>
    <w:p>
      <w:pPr>
        <w:pStyle w:val="14"/>
        <w:widowControl w:val="off"/>
        <w:spacing w:after="160" w:line="360"/>
      </w:pPr>
      <w:r>
        <w:rPr>
          <w:sz w:val="16"/>
        </w:rPr>
        <w:t>- 표1에 대한 차트</w:t>
      </w:r>
    </w:p>
    <w:p>
      <w:pPr>
        <w:pStyle w:val="14"/>
        <w:widowControl w:val="off"/>
        <w:wordWrap w:val="1"/>
        <w:jc w:val="center"/>
      </w:pPr>
      <w:r>
        <w:drawing>
          <wp:inline distT="0" distB="0" distL="0" distR="0">
            <wp:extent cx="5399913" cy="4480560"/>
            <wp:effectExtent l="0" t="0" r="0" b="0"/>
            <wp:docPr id="2" name="차트 %d 2"/>
            <wp:cNvGraphicFramePr/>
            <a:graphic>
              <a:graphicData uri="http://schemas.openxmlformats.org/drawingml/2006/chart">
                <c:chart r:id="rId3"/>
              </a:graphicData>
            </a:graphic>
          </wp:inline>
        </w:drawing>
      </w:r>
    </w:p>
    <w:p>
      <w:pPr>
        <w:pStyle w:val="14"/>
        <w:widowControl w:val="off"/>
        <w:wordWrap w:val="1"/>
        <w:jc w:val="left"/>
        <w:rPr/>
      </w:pPr>
    </w:p>
    <w:p>
      <w:pPr>
        <w:pStyle w:val="14"/>
        <w:widowControl w:val="off"/>
      </w:pPr>
      <w:r>
        <w:rPr>
          <w:sz w:val="22"/>
        </w:rPr>
        <w:t xml:space="preserve">  표1에 대한 차트를 살펴보면 산업 분야별 순위를 비교해 봤을 때 보건업 및 사회복지 서비스업이 가장 높은 순위를 차지 하였고 금융 및 보험업 전기/가스/증기/수도산업이 그 뒤를 이은 것으로 보인다. 코로나 여파로 단기적인 영향이 있을 수 있겟지만 서비스, 제조업, 금융 보험업, 교육서비스에 등장하는 IoT관련 산업이 눈에 띈다. 앞서 조사해보았던 건설업 역시 IoT 사업에 대한 전망이 밝은 편이다. 4차산업에 있어서 빠질수 없는 IoT가 한쪽으로 치우친 부분이 있는 것 같기도 하고 운수업, 예술 도소매 스포츠 업에 있어서 밝지 않은 전망으로 보았을 때 직업을 이직 하게되거나 퇴직 하게 될 것 같기도한 불안함이 들기도 한다. </w:t>
      </w:r>
    </w:p>
    <w:p>
      <w:pPr>
        <w:pStyle w:val="14"/>
        <w:widowControl w:val="off"/>
        <w:wordWrap w:val="1"/>
        <w:jc w:val="left"/>
        <w:rPr>
          <w:color w:val="000000"/>
          <w:sz w:val="22"/>
        </w:rPr>
      </w:pPr>
    </w:p>
    <w:p>
      <w:pPr>
        <w:pStyle w:val="14"/>
        <w:widowControl w:val="off"/>
      </w:pPr>
      <w:r>
        <w:rPr>
          <w:b/>
          <w:sz w:val="22"/>
        </w:rPr>
        <w:t xml:space="preserve">  다음으로 통계청에서 제공되어지는 IoT 사업에 있어서 에로사항에 대한 데이터를 활용하여 표와 차트를 작성해보았다.</w:t>
      </w:r>
    </w:p>
    <w:p>
      <w:pPr>
        <w:pStyle w:val="14"/>
        <w:widowControl w:val="off"/>
        <w:wordWrap w:val="1"/>
        <w:jc w:val="left"/>
        <w:rPr/>
      </w:pPr>
    </w:p>
    <w:tbl>
      <w:tblPr>
        <w:tblOverlap w:val="never"/>
        <w:tblW w:w="837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211"/>
        <w:gridCol w:w="1053"/>
        <w:gridCol w:w="1053"/>
        <w:gridCol w:w="1053"/>
      </w:tblGrid>
      <w:tr>
        <w:trPr>
          <w:trHeight w:val="56"/>
        </w:trPr>
        <w:tc>
          <w:tcPr>
            <w:tcW w:w="5211" w:type="dxa"/>
            <w:tcBorders>
              <w:top w:val="single" w:color="000000" w:sz="3"/>
              <w:left w:val="single" w:color="000000" w:sz="3"/>
              <w:bottom w:val="single" w:color="000000" w:sz="3"/>
              <w:right w:val="single" w:color="000000" w:sz="3"/>
            </w:tcBorders>
            <w:vAlign w:val="center"/>
          </w:tcPr>
          <w:p>
            <w:pPr>
              <w:pStyle w:val="14"/>
              <w:widowControl w:val="off"/>
              <w:wordWrap w:val="1"/>
              <w:jc w:val="center"/>
            </w:pPr>
            <w:r>
              <w:rPr/>
              <w:t>에로사항별(1)</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center"/>
            </w:pPr>
            <w:r>
              <w:rPr/>
              <w:t>2019</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center"/>
            </w:pPr>
            <w:r>
              <w:rPr/>
              <w:t>2020</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center"/>
            </w:pPr>
            <w:r>
              <w:rPr/>
              <w:t>2021</w:t>
            </w:r>
          </w:p>
        </w:tc>
      </w:tr>
      <w:tr>
        <w:trPr>
          <w:trHeight w:val="56"/>
        </w:trPr>
        <w:tc>
          <w:tcPr>
            <w:tcW w:w="5211" w:type="dxa"/>
            <w:tcBorders>
              <w:top w:val="single" w:color="000000" w:sz="3"/>
              <w:left w:val="single" w:color="000000" w:sz="3"/>
              <w:bottom w:val="single" w:color="000000" w:sz="3"/>
              <w:right w:val="single" w:color="000000" w:sz="3"/>
            </w:tcBorders>
            <w:vAlign w:val="center"/>
          </w:tcPr>
          <w:p>
            <w:pPr>
              <w:pStyle w:val="14"/>
              <w:widowControl w:val="off"/>
              <w:wordWrap w:val="1"/>
              <w:jc w:val="left"/>
            </w:pPr>
            <w:r>
              <w:rPr/>
              <w:t>사업추진 자금의 부족</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21.2</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22.5</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23.2</w:t>
            </w:r>
          </w:p>
        </w:tc>
      </w:tr>
      <w:tr>
        <w:trPr>
          <w:trHeight w:val="56"/>
        </w:trPr>
        <w:tc>
          <w:tcPr>
            <w:tcW w:w="5211" w:type="dxa"/>
            <w:tcBorders>
              <w:top w:val="single" w:color="000000" w:sz="3"/>
              <w:left w:val="single" w:color="000000" w:sz="3"/>
              <w:bottom w:val="single" w:color="000000" w:sz="3"/>
              <w:right w:val="single" w:color="000000" w:sz="3"/>
            </w:tcBorders>
            <w:vAlign w:val="center"/>
          </w:tcPr>
          <w:p>
            <w:pPr>
              <w:pStyle w:val="14"/>
              <w:widowControl w:val="off"/>
              <w:wordWrap w:val="1"/>
              <w:jc w:val="left"/>
            </w:pPr>
            <w:r>
              <w:rPr/>
              <w:t>정부의 정책적 지원 미비</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19.2</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15.9</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15.1</w:t>
            </w:r>
          </w:p>
        </w:tc>
      </w:tr>
      <w:tr>
        <w:trPr>
          <w:trHeight w:val="56"/>
        </w:trPr>
        <w:tc>
          <w:tcPr>
            <w:tcW w:w="5211" w:type="dxa"/>
            <w:tcBorders>
              <w:top w:val="single" w:color="000000" w:sz="3"/>
              <w:left w:val="single" w:color="000000" w:sz="3"/>
              <w:bottom w:val="single" w:color="000000" w:sz="3"/>
              <w:right w:val="single" w:color="000000" w:sz="3"/>
            </w:tcBorders>
            <w:vAlign w:val="center"/>
          </w:tcPr>
          <w:p>
            <w:pPr>
              <w:pStyle w:val="14"/>
              <w:widowControl w:val="off"/>
              <w:wordWrap w:val="1"/>
              <w:jc w:val="left"/>
            </w:pPr>
            <w:r>
              <w:rPr/>
              <w:t>불확실한 시장성</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13.7</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13.4</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12.9</w:t>
            </w:r>
          </w:p>
        </w:tc>
      </w:tr>
      <w:tr>
        <w:trPr>
          <w:trHeight w:val="56"/>
        </w:trPr>
        <w:tc>
          <w:tcPr>
            <w:tcW w:w="5211" w:type="dxa"/>
            <w:tcBorders>
              <w:top w:val="single" w:color="000000" w:sz="3"/>
              <w:left w:val="single" w:color="000000" w:sz="3"/>
              <w:bottom w:val="single" w:color="000000" w:sz="3"/>
              <w:right w:val="single" w:color="000000" w:sz="3"/>
            </w:tcBorders>
            <w:vAlign w:val="center"/>
          </w:tcPr>
          <w:p>
            <w:pPr>
              <w:pStyle w:val="14"/>
              <w:widowControl w:val="off"/>
              <w:wordWrap w:val="1"/>
              <w:jc w:val="left"/>
            </w:pPr>
            <w:r>
              <w:rPr/>
              <w:t>표준화 미비</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11.8</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10.4</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10.0</w:t>
            </w:r>
          </w:p>
        </w:tc>
      </w:tr>
      <w:tr>
        <w:trPr>
          <w:trHeight w:val="56"/>
        </w:trPr>
        <w:tc>
          <w:tcPr>
            <w:tcW w:w="5211" w:type="dxa"/>
            <w:tcBorders>
              <w:top w:val="single" w:color="000000" w:sz="3"/>
              <w:left w:val="single" w:color="000000" w:sz="3"/>
              <w:bottom w:val="single" w:color="000000" w:sz="3"/>
              <w:right w:val="single" w:color="000000" w:sz="3"/>
            </w:tcBorders>
            <w:vAlign w:val="center"/>
          </w:tcPr>
          <w:p>
            <w:pPr>
              <w:pStyle w:val="14"/>
              <w:widowControl w:val="off"/>
              <w:wordWrap w:val="1"/>
              <w:jc w:val="left"/>
            </w:pPr>
            <w:r>
              <w:rPr/>
              <w:t>비즈니스 모델 부재</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10.6</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9.5</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9.6</w:t>
            </w:r>
          </w:p>
        </w:tc>
      </w:tr>
      <w:tr>
        <w:trPr>
          <w:trHeight w:val="56"/>
        </w:trPr>
        <w:tc>
          <w:tcPr>
            <w:tcW w:w="5211" w:type="dxa"/>
            <w:tcBorders>
              <w:top w:val="single" w:color="000000" w:sz="3"/>
              <w:left w:val="single" w:color="000000" w:sz="3"/>
              <w:bottom w:val="single" w:color="000000" w:sz="3"/>
              <w:right w:val="single" w:color="000000" w:sz="3"/>
            </w:tcBorders>
            <w:vAlign w:val="center"/>
          </w:tcPr>
          <w:p>
            <w:pPr>
              <w:pStyle w:val="14"/>
              <w:widowControl w:val="off"/>
              <w:wordWrap w:val="1"/>
              <w:jc w:val="left"/>
            </w:pPr>
            <w:r>
              <w:rPr/>
              <w:t>보유 기술력/인력 부족</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10.0</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13.0</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13.3</w:t>
            </w:r>
          </w:p>
        </w:tc>
      </w:tr>
      <w:tr>
        <w:trPr>
          <w:trHeight w:val="56"/>
        </w:trPr>
        <w:tc>
          <w:tcPr>
            <w:tcW w:w="5211" w:type="dxa"/>
            <w:tcBorders>
              <w:top w:val="single" w:color="000000" w:sz="3"/>
              <w:left w:val="single" w:color="000000" w:sz="3"/>
              <w:bottom w:val="single" w:color="000000" w:sz="3"/>
              <w:right w:val="single" w:color="000000" w:sz="3"/>
            </w:tcBorders>
            <w:vAlign w:val="center"/>
          </w:tcPr>
          <w:p>
            <w:pPr>
              <w:pStyle w:val="14"/>
              <w:widowControl w:val="off"/>
              <w:wordWrap w:val="1"/>
              <w:jc w:val="left"/>
            </w:pPr>
            <w:r>
              <w:rPr/>
              <w:t>가격 부담</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7.1</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7.1</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7.4</w:t>
            </w:r>
          </w:p>
        </w:tc>
      </w:tr>
      <w:tr>
        <w:trPr>
          <w:trHeight w:val="56"/>
        </w:trPr>
        <w:tc>
          <w:tcPr>
            <w:tcW w:w="5211" w:type="dxa"/>
            <w:tcBorders>
              <w:top w:val="single" w:color="000000" w:sz="3"/>
              <w:left w:val="single" w:color="000000" w:sz="3"/>
              <w:bottom w:val="single" w:color="000000" w:sz="3"/>
              <w:right w:val="single" w:color="000000" w:sz="3"/>
            </w:tcBorders>
            <w:vAlign w:val="center"/>
          </w:tcPr>
          <w:p>
            <w:pPr>
              <w:pStyle w:val="14"/>
              <w:widowControl w:val="off"/>
              <w:wordWrap w:val="1"/>
              <w:jc w:val="left"/>
            </w:pPr>
            <w:r>
              <w:rPr/>
              <w:t>사물인터넷 인식 부족</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5.8</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6.2</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5.8</w:t>
            </w:r>
          </w:p>
        </w:tc>
      </w:tr>
      <w:tr>
        <w:trPr>
          <w:trHeight w:val="56"/>
        </w:trPr>
        <w:tc>
          <w:tcPr>
            <w:tcW w:w="5211" w:type="dxa"/>
            <w:tcBorders>
              <w:top w:val="single" w:color="000000" w:sz="3"/>
              <w:left w:val="single" w:color="000000" w:sz="3"/>
              <w:bottom w:val="single" w:color="000000" w:sz="3"/>
              <w:right w:val="single" w:color="000000" w:sz="3"/>
            </w:tcBorders>
            <w:vAlign w:val="center"/>
          </w:tcPr>
          <w:p>
            <w:pPr>
              <w:pStyle w:val="14"/>
              <w:widowControl w:val="off"/>
              <w:wordWrap w:val="1"/>
              <w:jc w:val="left"/>
            </w:pPr>
            <w:r>
              <w:rPr/>
              <w:t>기타</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0.5</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1.1</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1.7</w:t>
            </w:r>
          </w:p>
        </w:tc>
      </w:tr>
      <w:tr>
        <w:trPr>
          <w:trHeight w:val="56"/>
        </w:trPr>
        <w:tc>
          <w:tcPr>
            <w:tcW w:w="5211" w:type="dxa"/>
            <w:tcBorders>
              <w:top w:val="single" w:color="000000" w:sz="3"/>
              <w:left w:val="single" w:color="000000" w:sz="3"/>
              <w:bottom w:val="single" w:color="000000" w:sz="3"/>
              <w:right w:val="single" w:color="000000" w:sz="3"/>
            </w:tcBorders>
            <w:vAlign w:val="center"/>
          </w:tcPr>
          <w:p>
            <w:pPr>
              <w:pStyle w:val="14"/>
              <w:widowControl w:val="off"/>
              <w:wordWrap w:val="1"/>
              <w:jc w:val="left"/>
            </w:pPr>
            <w:r>
              <w:rPr/>
              <w:t>무응답</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rPr/>
            </w:pP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0.9</w:t>
            </w:r>
          </w:p>
        </w:tc>
        <w:tc>
          <w:tcPr>
            <w:tcW w:w="1053" w:type="dxa"/>
            <w:tcBorders>
              <w:top w:val="single" w:color="000000" w:sz="3"/>
              <w:left w:val="single" w:color="000000" w:sz="3"/>
              <w:bottom w:val="single" w:color="000000" w:sz="3"/>
              <w:right w:val="single" w:color="000000" w:sz="3"/>
            </w:tcBorders>
            <w:vAlign w:val="center"/>
          </w:tcPr>
          <w:p>
            <w:pPr>
              <w:pStyle w:val="14"/>
              <w:widowControl w:val="off"/>
              <w:wordWrap w:val="1"/>
              <w:jc w:val="right"/>
            </w:pPr>
            <w:r>
              <w:rPr/>
              <w:t>0.8</w:t>
            </w:r>
          </w:p>
        </w:tc>
      </w:tr>
    </w:tbl>
    <w:p>
      <w:pPr>
        <w:pStyle w:val="14"/>
        <w:widowControl w:val="off"/>
        <w:spacing w:after="160" w:line="360"/>
      </w:pPr>
      <w:r>
        <w:rPr>
          <w:sz w:val="16"/>
        </w:rPr>
        <w:t xml:space="preserve">- 표2 </w:t>
      </w:r>
      <w:r>
        <w:rPr>
          <w:sz w:val="16"/>
        </w:rPr>
        <w:t>「통계청</w:t>
      </w:r>
      <w:r>
        <w:rPr>
          <w:sz w:val="16"/>
        </w:rPr>
        <w:t xml:space="preserve">(KOSIS) - </w:t>
      </w:r>
      <w:r>
        <w:rPr>
          <w:sz w:val="16"/>
        </w:rPr>
        <w:t>「사물인터넷산업실태조사」</w:t>
      </w:r>
      <w:r>
        <w:rPr>
          <w:sz w:val="16"/>
        </w:rPr>
        <w:t xml:space="preserve">, 과학기술정보통신 통계자료(사물인터넷 사업 시 애로사항) </w:t>
      </w:r>
      <w:r>
        <w:rPr>
          <w:sz w:val="16"/>
        </w:rPr>
        <w:t>」</w:t>
      </w:r>
    </w:p>
    <w:p>
      <w:pPr>
        <w:pStyle w:val="14"/>
        <w:widowControl w:val="off"/>
        <w:wordWrap w:val="1"/>
        <w:jc w:val="right"/>
      </w:pPr>
    </w:p>
    <w:p>
      <w:pPr>
        <w:pStyle w:val="14"/>
        <w:widowControl w:val="off"/>
        <w:wordWrap w:val="1"/>
        <w:jc w:val="center"/>
        <w:rPr/>
      </w:pPr>
    </w:p>
    <w:p>
      <w:pPr>
        <w:pStyle w:val="16"/>
        <w:widowControl w:val="off"/>
      </w:pPr>
      <w:r>
        <w:rPr>
          <w:sz w:val="16"/>
        </w:rPr>
        <w:t>-표2 에 대한 차트</w:t>
      </w:r>
    </w:p>
    <w:p>
      <w:pPr>
        <w:pStyle w:val="14"/>
        <w:widowControl w:val="off"/>
        <w:wordWrap w:val="1"/>
        <w:jc w:val="center"/>
      </w:pPr>
      <w:r>
        <w:drawing>
          <wp:inline distT="0" distB="0" distL="0" distR="0">
            <wp:extent cx="5399913" cy="3800729"/>
            <wp:effectExtent l="0" t="0" r="0" b="0"/>
            <wp:docPr id="3" name="차트 %d 3"/>
            <wp:cNvGraphicFramePr/>
            <a:graphic>
              <a:graphicData uri="http://schemas.openxmlformats.org/drawingml/2006/chart">
                <c:chart r:id="rId4"/>
              </a:graphicData>
            </a:graphic>
          </wp:inline>
        </w:drawing>
      </w:r>
    </w:p>
    <w:p>
      <w:pPr>
        <w:pStyle w:val="14"/>
        <w:widowControl w:val="off"/>
        <w:wordWrap w:val="1"/>
        <w:jc w:val="left"/>
        <w:rPr/>
      </w:pPr>
    </w:p>
    <w:p>
      <w:pPr>
        <w:pStyle w:val="14"/>
        <w:widowControl w:val="off"/>
      </w:pPr>
      <w:r>
        <w:rPr>
          <w:sz w:val="22"/>
        </w:rPr>
        <w:t xml:space="preserve">  표2에 대한 차트에서 볼 수 있듯이 정부의 정책적 지원이나 불확실한 시장성이 눈에 띄고 자금의 부족이 가장 높은 부분을 차지한 것으로 보인다. 사물인터넷 인식부족이나 가격 부담보다는 사업적이고 표준화되고 정부 정책적 지원이 바탕이 되었을 때 IoT 사업에 활력이 될 것 같다는 생각도 든다.</w:t>
      </w:r>
    </w:p>
    <w:p>
      <w:pPr>
        <w:pStyle w:val="14"/>
        <w:widowControl w:val="off"/>
        <w:wordWrap w:val="1"/>
        <w:jc w:val="left"/>
        <w:rPr/>
      </w:pPr>
    </w:p>
    <w:p>
      <w:pPr>
        <w:pStyle w:val="14"/>
        <w:widowControl w:val="off"/>
        <w:wordWrap w:val="1"/>
        <w:jc w:val="left"/>
        <w:rPr/>
      </w:pPr>
    </w:p>
    <w:p>
      <w:pPr>
        <w:pStyle w:val="14"/>
        <w:widowControl w:val="off"/>
        <w:wordWrap w:val="1"/>
        <w:jc w:val="left"/>
        <w:rPr/>
      </w:pPr>
    </w:p>
    <w:p>
      <w:pPr>
        <w:pStyle w:val="14"/>
        <w:widowControl w:val="off"/>
        <w:wordWrap w:val="1"/>
        <w:jc w:val="left"/>
        <w:rPr/>
      </w:pPr>
    </w:p>
    <w:p>
      <w:pPr>
        <w:pStyle w:val="14"/>
        <w:widowControl w:val="off"/>
        <w:wordWrap w:val="1"/>
        <w:jc w:val="left"/>
        <w:rPr/>
      </w:pPr>
    </w:p>
    <w:p>
      <w:pPr>
        <w:pStyle w:val="14"/>
        <w:widowControl w:val="off"/>
        <w:wordWrap w:val="1"/>
        <w:jc w:val="left"/>
      </w:pPr>
      <w:r>
        <w:rPr>
          <w:sz w:val="48"/>
        </w:rPr>
        <w:t>결론</w:t>
      </w:r>
    </w:p>
    <w:p>
      <w:pPr>
        <w:pStyle w:val="14"/>
        <w:widowControl w:val="off"/>
        <w:wordWrap w:val="1"/>
        <w:jc w:val="left"/>
        <w:rPr/>
      </w:pPr>
    </w:p>
    <w:p>
      <w:pPr>
        <w:pStyle w:val="14"/>
        <w:widowControl w:val="off"/>
      </w:pPr>
      <w:r>
        <w:rPr>
          <w:sz w:val="22"/>
        </w:rPr>
        <w:t xml:space="preserve">  조사하고 정리해보았던 통계자료나 해양수산부의 IoT, 빅데이터, 클라우드를 활용한 스마트항만이 모든 걸 설명할 수 없겠지만 주변이나 혹은 여행을 하거나 취미/여가 활동을 하였을 때 접할 수 있는 부분들 그리고 직장에 재직을 하거나 취업을 준비하면서 접하게 되는 4차산업혁명의 대표적인 빅데이터, 클라우드, IoT 공통분모로 포함되는 인터넷 기술들에 있어서 활용될 기술들이나 사용하게될 인터넷 기술들을 생각해 볼 수 있었다. 스마트카, 스마트홈, AI인공지능 등과 같이 전문화되고 자동화 되는 초연결 사회를 살아감에 있어서 일자리를 로봇과 같은 자동화 인력에 일자리를 뺏기게 될 거 같기도 하지만 편안한 환경에서 근무를 하고 여가생활이나 취미생활이 늘어나고 U-헬스같은 웨어러블 디바이스를 활용해서 운동하고 스마트 홈에서 편안하게 휴식하고 스마트카를 타고 즐겁게 여행하고 일을 할 수 있다면 즐거운 삶을 살아 갈 수 있을 것 같은 생각이 든다.</w:t>
      </w:r>
    </w:p>
    <w:p>
      <w:pPr>
        <w:pStyle w:val="14"/>
        <w:widowControl w:val="off"/>
        <w:wordWrap w:val="1"/>
        <w:jc w:val="left"/>
        <w:rPr/>
      </w:pPr>
    </w:p>
    <w:p>
      <w:pPr>
        <w:pStyle w:val="14"/>
        <w:widowControl w:val="off"/>
        <w:wordWrap w:val="1"/>
        <w:jc w:val="left"/>
        <w:rPr/>
      </w:pPr>
    </w:p>
    <w:p>
      <w:pPr>
        <w:pStyle w:val="14"/>
        <w:widowControl w:val="off"/>
        <w:wordWrap w:val="1"/>
        <w:jc w:val="left"/>
      </w:pPr>
      <w:r>
        <w:rPr>
          <w:sz w:val="22"/>
        </w:rPr>
        <w:t>참고문헌</w:t>
      </w:r>
    </w:p>
    <w:p>
      <w:pPr>
        <w:pStyle w:val="14"/>
        <w:widowControl w:val="off"/>
        <w:wordWrap w:val="1"/>
        <w:jc w:val="left"/>
        <w:rPr>
          <w:color w:val="000000"/>
          <w:sz w:val="22"/>
        </w:rPr>
      </w:pPr>
    </w:p>
    <w:p>
      <w:pPr>
        <w:pStyle w:val="14"/>
        <w:widowControl w:val="off"/>
        <w:wordWrap w:val="1"/>
        <w:jc w:val="left"/>
      </w:pPr>
      <w:r>
        <w:rPr>
          <w:sz w:val="22"/>
        </w:rPr>
        <w:t>4주차 PPT 자료 및 인터넷 검색과 자료에 대한 생각</w:t>
      </w:r>
    </w:p>
    <w:p>
      <w:pPr>
        <w:pStyle w:val="14"/>
        <w:widowControl w:val="off"/>
        <w:wordWrap w:val="1"/>
        <w:jc w:val="left"/>
        <w:rPr>
          <w:color w:val="000000"/>
          <w:sz w:val="22"/>
        </w:rPr>
      </w:pPr>
    </w:p>
    <w:p>
      <w:pPr>
        <w:pStyle w:val="14"/>
        <w:widowControl w:val="off"/>
        <w:wordWrap w:val="1"/>
        <w:jc w:val="left"/>
      </w:pPr>
      <w:hyperlink w:history="1" r:id="rId5">
        <w:r>
          <w:rPr>
            <w:color w:val="0000ff"/>
            <w:sz w:val="16"/>
            <w:u w:val="single" w:color="0000ff"/>
          </w:rPr>
          <w:t>https://terms.naver.com/</w:t>
        </w:r>
      </w:hyperlink>
      <w:r>
        <w:rPr>
          <w:sz w:val="16"/>
        </w:rPr>
        <w:t xml:space="preserve"> 네이버 지식백과 (Iot, 클라우드, 빅데이터)</w:t>
      </w:r>
    </w:p>
    <w:p>
      <w:pPr>
        <w:pStyle w:val="14"/>
        <w:widowControl w:val="off"/>
      </w:pPr>
      <w:hyperlink w:history="1" r:id="rId6">
        <w:r>
          <w:rPr>
            <w:rFonts w:ascii="UICTFontTextStyleBody"/>
            <w:color w:val="0000ff"/>
            <w:sz w:val="16"/>
            <w:u w:val="single" w:color="0000ff"/>
            <w:shd w:val="clear" w:color="000000"/>
          </w:rPr>
          <w:t>https://m.blog.naver.com/koreamof/222657763330</w:t>
        </w:r>
      </w:hyperlink>
      <w:r>
        <w:rPr>
          <w:rFonts w:ascii="UICTFontTextStyleBody"/>
          <w:color w:val="0000ff"/>
          <w:sz w:val="16"/>
          <w:u w:val="single" w:color="0000ff"/>
          <w:shd w:val="clear" w:color="000000"/>
        </w:rPr>
        <w:t xml:space="preserve"> </w:t>
      </w:r>
      <w:r>
        <w:rPr>
          <w:rFonts w:ascii="UICTFontTextStyleBody"/>
          <w:sz w:val="16"/>
          <w:shd w:val="clear" w:color="000000"/>
        </w:rPr>
        <w:t>iot</w:t>
      </w:r>
      <w:r>
        <w:rPr>
          <w:rFonts w:ascii="\.AppleSDGothicNeoI-Regular" w:eastAsia="\.AppleSDGothicNeoI-Regular"/>
          <w:sz w:val="16"/>
          <w:shd w:val="clear" w:color="000000"/>
        </w:rPr>
        <w:t>항만 에관한 한국해양수산부 공식블로그</w:t>
      </w:r>
    </w:p>
    <w:p>
      <w:pPr>
        <w:pStyle w:val="14"/>
        <w:widowControl w:val="off"/>
      </w:pPr>
      <w:hyperlink w:history="1" r:id="rId7">
        <w:r>
          <w:rPr>
            <w:rFonts w:ascii="UICTFontTextStyleBody"/>
            <w:color w:val="0000ff"/>
            <w:sz w:val="16"/>
            <w:u w:val="single" w:color="0000ff"/>
            <w:shd w:val="clear" w:color="000000"/>
          </w:rPr>
          <w:t>https://youtu.be/uXTrD-FzGE8</w:t>
        </w:r>
      </w:hyperlink>
      <w:r>
        <w:rPr>
          <w:rFonts w:ascii="\.AppleSDGothicNeoI-Regular" w:eastAsia="\.AppleSDGothicNeoI-Regular"/>
          <w:sz w:val="16"/>
          <w:shd w:val="clear" w:color="000000"/>
        </w:rPr>
        <w:t xml:space="preserve"> 스마트항만 모니터링</w:t>
      </w:r>
    </w:p>
    <w:p>
      <w:pPr>
        <w:pStyle w:val="14"/>
        <w:widowControl w:val="off"/>
      </w:pPr>
      <w:hyperlink w:history="1" r:id="rId8">
        <w:r>
          <w:rPr>
            <w:rFonts w:ascii="UICTFontTextStyleBody"/>
            <w:color w:val="0000ff"/>
            <w:sz w:val="16"/>
            <w:u w:val="single" w:color="0000ff"/>
            <w:shd w:val="clear" w:color="000000"/>
          </w:rPr>
          <w:t>http://www.hdhy.co.kr/news/articleView.html?idxno=16755</w:t>
        </w:r>
      </w:hyperlink>
      <w:r>
        <w:rPr>
          <w:rFonts w:ascii="\.AppleSDGothicNeoI-Regular" w:eastAsia="\.AppleSDGothicNeoI-Regular"/>
          <w:sz w:val="16"/>
          <w:shd w:val="clear" w:color="000000"/>
        </w:rPr>
        <w:t xml:space="preserve"> 기사블로그 빅데이터와 </w:t>
      </w:r>
      <w:r>
        <w:rPr>
          <w:rFonts w:ascii="UICTFontTextStyleBody"/>
          <w:sz w:val="16"/>
          <w:shd w:val="clear" w:color="000000"/>
        </w:rPr>
        <w:t>iot</w:t>
      </w:r>
      <w:r>
        <w:rPr>
          <w:rFonts w:ascii="\.AppleSDGothicNeoI-Regular" w:eastAsia="\.AppleSDGothicNeoI-Regular"/>
          <w:sz w:val="16"/>
          <w:shd w:val="clear" w:color="000000"/>
        </w:rPr>
        <w:t>통신 인프라 구축으로 사고 예방 실시간 모니터링 첨단화 사고 예측방지</w:t>
      </w:r>
    </w:p>
    <w:p>
      <w:pPr>
        <w:pStyle w:val="14"/>
        <w:widowControl w:val="off"/>
      </w:pPr>
      <w:hyperlink w:history="1" r:id="rId9">
        <w:r>
          <w:rPr>
            <w:rFonts w:ascii="UICTFontTextStyleBody"/>
            <w:color w:val="0000ff"/>
            <w:sz w:val="16"/>
            <w:u w:val="single" w:color="0000ff"/>
            <w:shd w:val="clear" w:color="000000"/>
          </w:rPr>
          <w:t>https://m.blog.naver.com/kriso_pr/223038898455</w:t>
        </w:r>
      </w:hyperlink>
      <w:r>
        <w:rPr>
          <w:rFonts w:ascii="UICTFontTextStyleBody"/>
          <w:color w:val="0000ff"/>
          <w:sz w:val="16"/>
          <w:u w:val="single" w:color="0000ff"/>
          <w:shd w:val="clear" w:color="000000"/>
        </w:rPr>
        <w:t xml:space="preserve"> </w:t>
      </w:r>
      <w:r>
        <w:rPr>
          <w:rFonts w:ascii="UICTFontTextStyleBody"/>
          <w:sz w:val="16"/>
          <w:shd w:val="clear" w:color="000000"/>
        </w:rPr>
        <w:t xml:space="preserve">Kriso </w:t>
      </w:r>
      <w:r>
        <w:rPr>
          <w:rFonts w:ascii="\.AppleSDGothicNeoI-Regular" w:eastAsia="\.AppleSDGothicNeoI-Regular"/>
          <w:sz w:val="16"/>
          <w:shd w:val="clear" w:color="000000"/>
        </w:rPr>
        <w:t>선박해양플렌트연구소 블로그</w:t>
      </w:r>
    </w:p>
    <w:p>
      <w:pPr>
        <w:pStyle w:val="14"/>
        <w:widowControl w:val="off"/>
      </w:pPr>
      <w:hyperlink w:history="1" r:id="rId10">
        <w:r>
          <w:rPr>
            <w:rFonts w:ascii="UICTFontTextStyleBody"/>
            <w:color w:val="0000ff"/>
            <w:sz w:val="16"/>
            <w:u w:val="single" w:color="0000ff"/>
            <w:shd w:val="clear" w:color="000000"/>
          </w:rPr>
          <w:t>https://youtu.be/NsPChT1lziU</w:t>
        </w:r>
      </w:hyperlink>
      <w:r>
        <w:rPr>
          <w:rFonts w:ascii="\.AppleSDGothicNeoI-Regular" w:eastAsia="\.AppleSDGothicNeoI-Regular"/>
          <w:sz w:val="16"/>
          <w:shd w:val="clear" w:color="000000"/>
        </w:rPr>
        <w:t xml:space="preserve"> 유튜브 산업방송채널의 뉴스자료 (작업자의 원격 운반작업</w:t>
      </w:r>
    </w:p>
    <w:p>
      <w:pPr>
        <w:pStyle w:val="14"/>
        <w:widowControl w:val="off"/>
        <w:wordWrap w:val="1"/>
        <w:jc w:val="left"/>
      </w:pPr>
      <w:r>
        <w:rPr>
          <w:sz w:val="16"/>
        </w:rPr>
        <w:t>기타 : 한국경제 신문기사, 유튜브 영상, 네이버 블로그 검색</w:t>
      </w:r>
    </w:p>
    <w:sectPr>
      <w:footnotePr>
        <w:numFmt w:val="decimal"/>
        <w:numRestart w:val="continuous"/>
      </w:footnotePr>
      <w:endnotePr>
        <w:pos w:val="docEnd"/>
        <w:numFmt w:val="decimal"/>
        <w:numRestart w:val="continuous"/>
      </w:endnotePr>
      <w:pgSz w:w="11906" w:h="16837"/>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15">
    <w:multiLevelType w:val="hybridMultilevel"/>
    <w:lvl w:ilvl="0">
      <w:start w:val="1"/>
      <w:numFmt w:val="bullet"/>
      <w:suff w:val="space"/>
      <w:lvlText w:val="§"/>
      <w:lvlJc w:val="left"/>
      <w:rPr/>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15">
    <w:abstractNumId w:val="215"/>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displayBackgroundShape/>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300" w:right="0" w:firstLine="0"/>
      <w:jc w:val="both"/>
      <w:textAlignment w:val="baseline"/>
    </w:pPr>
    <w:rPr>
      <w:rFonts w:ascii="함초롬바탕" w:eastAsia="함초롬바탕"/>
      <w:color w:val="000000"/>
      <w:sz w:val="2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200" w:right="0" w:firstLine="0"/>
      <w:jc w:val="both"/>
      <w:textAlignment w:val="baseline"/>
      <w:outlineLvl w:val="0"/>
      <w:numPr>
        <w:numId w:val="202"/>
        <w:ilvl w:val="0"/>
      </w:numPr>
    </w:pPr>
    <w:rPr>
      <w:rFonts w:ascii="함초롬바탕" w:eastAsia="함초롬바탕"/>
      <w:color w:val="000000"/>
      <w:sz w:val="2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400" w:right="0" w:firstLine="0"/>
      <w:jc w:val="both"/>
      <w:textAlignment w:val="baseline"/>
      <w:outlineLvl w:val="1"/>
      <w:numPr>
        <w:numId w:val="203"/>
        <w:ilvl w:val="1"/>
      </w:numPr>
    </w:pPr>
    <w:rPr>
      <w:rFonts w:ascii="함초롬바탕" w:eastAsia="함초롬바탕"/>
      <w:color w:val="000000"/>
      <w:sz w:val="2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600" w:right="0" w:firstLine="0"/>
      <w:jc w:val="both"/>
      <w:textAlignment w:val="baseline"/>
      <w:outlineLvl w:val="2"/>
      <w:numPr>
        <w:numId w:val="204"/>
        <w:ilvl w:val="2"/>
      </w:numPr>
    </w:pPr>
    <w:rPr>
      <w:rFonts w:ascii="함초롬바탕" w:eastAsia="함초롬바탕"/>
      <w:color w:val="000000"/>
      <w:sz w:val="2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800" w:right="0" w:firstLine="0"/>
      <w:jc w:val="both"/>
      <w:textAlignment w:val="baseline"/>
      <w:outlineLvl w:val="3"/>
      <w:numPr>
        <w:numId w:val="205"/>
        <w:ilvl w:val="3"/>
      </w:numPr>
    </w:pPr>
    <w:rPr>
      <w:rFonts w:ascii="함초롬바탕" w:eastAsia="함초롬바탕"/>
      <w:color w:val="000000"/>
      <w:sz w:val="2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rPr>
  </w:style>
  <w:style w:type="paragraph" w:styleId="9">
    <w:name w:val="쪽 번호"/>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함초롬돋움" w:eastAsia="함초롬돋움"/>
      <w:color w:val="000000"/>
      <w:sz w:val="2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60" w:lineRule="auto"/>
      <w:ind w:left="0" w:right="0" w:firstLine="0"/>
      <w:jc w:val="both"/>
      <w:textAlignment w:val="baseline"/>
    </w:pPr>
    <w:rPr>
      <w:rFonts w:ascii="함초롬돋움" w:eastAsia="함초롬돋움"/>
      <w:color w:val="000000"/>
      <w:sz w:val="18"/>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2" w:right="0" w:hanging="262"/>
      <w:jc w:val="both"/>
      <w:textAlignment w:val="baseline"/>
    </w:pPr>
    <w:rPr>
      <w:rFonts w:ascii="함초롬바탕" w:eastAsia="함초롬바탕"/>
      <w:color w:val="000000"/>
      <w:sz w:val="18"/>
    </w:rPr>
  </w:style>
  <w:style w:type="paragraph" w:styleId="12">
    <w:name w:val="미주"/>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2" w:right="0" w:hanging="262"/>
      <w:jc w:val="both"/>
      <w:textAlignment w:val="baseline"/>
    </w:pPr>
    <w:rPr>
      <w:rFonts w:ascii="함초롬바탕" w:eastAsia="함초롬바탕"/>
      <w:color w:val="000000"/>
      <w:sz w:val="18"/>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0" w:right="0" w:firstLine="0"/>
      <w:jc w:val="both"/>
      <w:textAlignment w:val="baseline"/>
    </w:pPr>
    <w:rPr>
      <w:rFonts w:ascii="함초롬돋움" w:eastAsia="함초롬돋움"/>
      <w:color w:val="000000"/>
      <w:spacing w:val="-4"/>
      <w:sz w:val="18"/>
    </w:rPr>
  </w:style>
  <w:style w:type="paragraph" w:styleId="14">
    <w:name w:val="바탕글 사본1"/>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5">
    <w:name w:val="목록 스타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numPr>
        <w:numId w:val="215"/>
        <w:ilvl w:val="0"/>
      </w:numPr>
    </w:pPr>
    <w:rPr>
      <w:rFonts w:ascii="함초롬바탕" w:eastAsia="함초롬바탕"/>
      <w:color w:val="000000"/>
      <w:sz w:val="20"/>
      <w:shd w:val="clear" w:color="999999"/>
    </w:rPr>
  </w:style>
  <w:style w:type="paragraph" w:styleId="16">
    <w:name w:val="캡션"/>
    <w:uiPriority w:val="1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image" Target="media/image0.jpeg"  /><Relationship Id="rId10" Type="http://schemas.openxmlformats.org/officeDocument/2006/relationships/hyperlink" Target="https://youtu.be/NsPChT1lziU" TargetMode="External" /><Relationship Id="rId11" Type="http://schemas.openxmlformats.org/officeDocument/2006/relationships/settings" Target="settings.xml"  /><Relationship Id="rId12" Type="http://schemas.openxmlformats.org/officeDocument/2006/relationships/styles" Target="styles.xml"  /><Relationship Id="rId13" Type="http://schemas.openxmlformats.org/officeDocument/2006/relationships/numbering" Target="numbering.xml"  /><Relationship Id="rId2" Type="http://schemas.openxmlformats.org/officeDocument/2006/relationships/image" Target="media/image1.bmp"  /><Relationship Id="rId3" Type="http://schemas.openxmlformats.org/officeDocument/2006/relationships/chart" Target="charts/chart0.xml"  /><Relationship Id="rId4" Type="http://schemas.openxmlformats.org/officeDocument/2006/relationships/chart" Target="charts/chart1.xml"  /><Relationship Id="rId5" Type="http://schemas.openxmlformats.org/officeDocument/2006/relationships/hyperlink" Target="https://terms.naver.com/" TargetMode="External" /><Relationship Id="rId6" Type="http://schemas.openxmlformats.org/officeDocument/2006/relationships/hyperlink" Target="https://m.blog.naver.com/koreamof/222657763330" TargetMode="External" /><Relationship Id="rId7" Type="http://schemas.openxmlformats.org/officeDocument/2006/relationships/hyperlink" Target="https://youtu.be/uXTrD-FzGE8" TargetMode="External" /><Relationship Id="rId8" Type="http://schemas.openxmlformats.org/officeDocument/2006/relationships/hyperlink" Target="http://www.hdhy.co.kr/news/articleView.html\?idxno=16755" TargetMode="External" /><Relationship Id="rId9" Type="http://schemas.openxmlformats.org/officeDocument/2006/relationships/hyperlink" Target="https://m.blog.naver.com/kriso_pr/223038898455" TargetMode="External" /></Relationships>
</file>

<file path=word/charts/chart0.xml><?xml version="1.0" encoding="utf-8"?>
<c:chartSpace xmlns:r="http://schemas.openxmlformats.org/officeDocument/2006/relationships" xmlns:a="http://schemas.openxmlformats.org/drawingml/2006/main" xmlns:c="http://schemas.openxmlformats.org/drawingml/2006/chart">
  <c:date1904 val="0"/>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wrap="none" lIns="0" tIns="0" rIns="0" bIns="0" anchor="ctr" anchorCtr="1"/>
          <a:p>
            <a:pPr algn="l">
              <a:defRPr sz="1400" b="0" i="0" u="none">
                <a:solidFill>
                  <a:sysClr val="windowText" lastClr="000000"/>
                </a:solidFill>
                <a:latin typeface="함초롬돋움"/>
                <a:ea typeface="함초롬돋움"/>
                <a:cs typeface="함초롬돋움"/>
                <a:sym typeface="함초롬돋움"/>
              </a:defRPr>
            </a:pPr>
            <a:r>
              <a:rPr sz="1400" b="0" i="0" u="none">
                <a:solidFill>
                  <a:sysClr val="windowText" lastClr="000000"/>
                </a:solidFill>
                <a:latin typeface="함초롬돋움"/>
                <a:ea typeface="함초롬돋움"/>
                <a:cs typeface="함초롬돋움"/>
                <a:sym typeface="함초롬돋움"/>
              </a:rPr>
              <a:t>산업별 IoT 도입확산 가능성 높은 분야 순위</a:t>
            </a:r>
            <a:endParaRPr/>
          </a:p>
        </c:rich>
      </c:tx>
      <c:layout/>
      <c:overlay val="0"/>
    </c:title>
    <c:autoTitleDeleted val="0"/>
    <c:plotArea>
      <c:layout/>
      <c:barChart>
        <c:barDir val="bar"/>
        <c:grouping val="clustered"/>
        <c:varyColors val="0"/>
        <c:ser>
          <c:idx val="0"/>
          <c:order val="0"/>
          <c:tx>
            <c:strRef>
              <c:f>Formula</c:f>
              <c:strCache>
                <c:ptCount val="1"/>
                <c:pt idx="0">
                  <c:v>2019</c:v>
                </c:pt>
              </c:strCache>
            </c:strRef>
          </c:tx>
          <c:invertIfNegative val="0"/>
          <c:cat>
            <c:strRef>
              <c:f>General</c:f>
              <c:strCache>
                <c:ptCount val="14"/>
                <c:pt idx="0">
                  <c:v>보건업 및 사회복지 서비스업</c:v>
                </c:pt>
                <c:pt idx="1">
                  <c:v>금융 및 보험업</c:v>
                </c:pt>
                <c:pt idx="2">
                  <c:v>전기/가스/증기/수도산업</c:v>
                </c:pt>
                <c:pt idx="3">
                  <c:v>제조업</c:v>
                </c:pt>
                <c:pt idx="4">
                  <c:v>산업 플랜트 건설업</c:v>
                </c:pt>
                <c:pt idx="5">
                  <c:v>농업,임업 및 어업, 광업</c:v>
                </c:pt>
                <c:pt idx="6">
                  <c:v>교육서비스업</c:v>
                </c:pt>
                <c:pt idx="7">
                  <c:v>공공행정 및 국방</c:v>
                </c:pt>
                <c:pt idx="8">
                  <c:v>건설업</c:v>
                </c:pt>
                <c:pt idx="9">
                  <c:v>하수폐기물 처리, 원료재생 및 환경복원업</c:v>
                </c:pt>
                <c:pt idx="10">
                  <c:v>도매 및 소매업</c:v>
                </c:pt>
                <c:pt idx="11">
                  <c:v>예술, 스포츠 및 여가 관련 서비스업</c:v>
                </c:pt>
                <c:pt idx="12">
                  <c:v>운수업</c:v>
                </c:pt>
                <c:pt idx="13">
                  <c:v>기타</c:v>
                </c:pt>
              </c:strCache>
            </c:strRef>
          </c:cat>
          <c:val>
            <c:numRef>
              <c:f>Formula</c:f>
              <c:numCache>
                <c:formatCode>General</c:formatCode>
                <c:ptCount val="14"/>
                <c:pt idx="0">
                  <c:v>16.3</c:v>
                </c:pt>
                <c:pt idx="1">
                  <c:v>12.8</c:v>
                </c:pt>
                <c:pt idx="2">
                  <c:v>12.5</c:v>
                </c:pt>
                <c:pt idx="3">
                  <c:v>9.8</c:v>
                </c:pt>
                <c:pt idx="4">
                  <c:v>8.9</c:v>
                </c:pt>
                <c:pt idx="5">
                  <c:v>8.8</c:v>
                </c:pt>
                <c:pt idx="6">
                  <c:v>8.4</c:v>
                </c:pt>
                <c:pt idx="7">
                  <c:v>5.7</c:v>
                </c:pt>
                <c:pt idx="8">
                  <c:v>5.2</c:v>
                </c:pt>
                <c:pt idx="9">
                  <c:v>4.8</c:v>
                </c:pt>
                <c:pt idx="10">
                  <c:v>2.7</c:v>
                </c:pt>
                <c:pt idx="11">
                  <c:v>2.7</c:v>
                </c:pt>
                <c:pt idx="12">
                  <c:v>1.5</c:v>
                </c:pt>
                <c:pt idx="13">
                  <c:v>0</c:v>
                </c:pt>
              </c:numCache>
            </c:numRef>
          </c:val>
        </c:ser>
        <c:ser>
          <c:idx val="1"/>
          <c:order val="1"/>
          <c:tx>
            <c:strRef>
              <c:f>Formula</c:f>
              <c:strCache>
                <c:ptCount val="1"/>
                <c:pt idx="0">
                  <c:v>2020</c:v>
                </c:pt>
              </c:strCache>
            </c:strRef>
          </c:tx>
          <c:invertIfNegative val="0"/>
          <c:cat>
            <c:strRef>
              <c:f>General</c:f>
              <c:strCache>
                <c:ptCount val="14"/>
                <c:pt idx="0">
                  <c:v>보건업 및 사회복지 서비스업</c:v>
                </c:pt>
                <c:pt idx="1">
                  <c:v>금융 및 보험업</c:v>
                </c:pt>
                <c:pt idx="2">
                  <c:v>전기/가스/증기/수도산업</c:v>
                </c:pt>
                <c:pt idx="3">
                  <c:v>제조업</c:v>
                </c:pt>
                <c:pt idx="4">
                  <c:v>산업 플랜트 건설업</c:v>
                </c:pt>
                <c:pt idx="5">
                  <c:v>농업,임업 및 어업, 광업</c:v>
                </c:pt>
                <c:pt idx="6">
                  <c:v>교육서비스업</c:v>
                </c:pt>
                <c:pt idx="7">
                  <c:v>공공행정 및 국방</c:v>
                </c:pt>
                <c:pt idx="8">
                  <c:v>건설업</c:v>
                </c:pt>
                <c:pt idx="9">
                  <c:v>하수폐기물 처리, 원료재생 및 환경복원업</c:v>
                </c:pt>
                <c:pt idx="10">
                  <c:v>도매 및 소매업</c:v>
                </c:pt>
                <c:pt idx="11">
                  <c:v>예술, 스포츠 및 여가 관련 서비스업</c:v>
                </c:pt>
                <c:pt idx="12">
                  <c:v>운수업</c:v>
                </c:pt>
                <c:pt idx="13">
                  <c:v>기타</c:v>
                </c:pt>
              </c:strCache>
            </c:strRef>
          </c:cat>
          <c:val>
            <c:numRef>
              <c:f>Formula</c:f>
              <c:numCache>
                <c:formatCode>General</c:formatCode>
                <c:ptCount val="14"/>
                <c:pt idx="0">
                  <c:v>16.3</c:v>
                </c:pt>
                <c:pt idx="1">
                  <c:v>10.4</c:v>
                </c:pt>
                <c:pt idx="2">
                  <c:v>12.6</c:v>
                </c:pt>
                <c:pt idx="3">
                  <c:v>9.9</c:v>
                </c:pt>
                <c:pt idx="4">
                  <c:v>8.2</c:v>
                </c:pt>
                <c:pt idx="5">
                  <c:v>9.3</c:v>
                </c:pt>
                <c:pt idx="6">
                  <c:v>9.9</c:v>
                </c:pt>
                <c:pt idx="7">
                  <c:v>5.4</c:v>
                </c:pt>
                <c:pt idx="8">
                  <c:v>4.8</c:v>
                </c:pt>
                <c:pt idx="9">
                  <c:v>4.7</c:v>
                </c:pt>
                <c:pt idx="10">
                  <c:v>3.1</c:v>
                </c:pt>
                <c:pt idx="11">
                  <c:v>3.5</c:v>
                </c:pt>
                <c:pt idx="12">
                  <c:v>1.8</c:v>
                </c:pt>
                <c:pt idx="13">
                  <c:v>0</c:v>
                </c:pt>
              </c:numCache>
            </c:numRef>
          </c:val>
        </c:ser>
        <c:ser>
          <c:idx val="2"/>
          <c:order val="2"/>
          <c:tx>
            <c:strRef>
              <c:f>Formula</c:f>
              <c:strCache>
                <c:ptCount val="1"/>
                <c:pt idx="0">
                  <c:v>2021</c:v>
                </c:pt>
              </c:strCache>
            </c:strRef>
          </c:tx>
          <c:invertIfNegative val="0"/>
          <c:cat>
            <c:strRef>
              <c:f>General</c:f>
              <c:strCache>
                <c:ptCount val="14"/>
                <c:pt idx="0">
                  <c:v>보건업 및 사회복지 서비스업</c:v>
                </c:pt>
                <c:pt idx="1">
                  <c:v>금융 및 보험업</c:v>
                </c:pt>
                <c:pt idx="2">
                  <c:v>전기/가스/증기/수도산업</c:v>
                </c:pt>
                <c:pt idx="3">
                  <c:v>제조업</c:v>
                </c:pt>
                <c:pt idx="4">
                  <c:v>산업 플랜트 건설업</c:v>
                </c:pt>
                <c:pt idx="5">
                  <c:v>농업,임업 및 어업, 광업</c:v>
                </c:pt>
                <c:pt idx="6">
                  <c:v>교육서비스업</c:v>
                </c:pt>
                <c:pt idx="7">
                  <c:v>공공행정 및 국방</c:v>
                </c:pt>
                <c:pt idx="8">
                  <c:v>건설업</c:v>
                </c:pt>
                <c:pt idx="9">
                  <c:v>하수폐기물 처리, 원료재생 및 환경복원업</c:v>
                </c:pt>
                <c:pt idx="10">
                  <c:v>도매 및 소매업</c:v>
                </c:pt>
                <c:pt idx="11">
                  <c:v>예술, 스포츠 및 여가 관련 서비스업</c:v>
                </c:pt>
                <c:pt idx="12">
                  <c:v>운수업</c:v>
                </c:pt>
                <c:pt idx="13">
                  <c:v>기타</c:v>
                </c:pt>
              </c:strCache>
            </c:strRef>
          </c:cat>
          <c:val>
            <c:numRef>
              <c:f>Formula</c:f>
              <c:numCache>
                <c:formatCode>General</c:formatCode>
                <c:ptCount val="14"/>
                <c:pt idx="0">
                  <c:v>16</c:v>
                </c:pt>
                <c:pt idx="1">
                  <c:v>9.9</c:v>
                </c:pt>
                <c:pt idx="2">
                  <c:v>12.4</c:v>
                </c:pt>
                <c:pt idx="3">
                  <c:v>10.6</c:v>
                </c:pt>
                <c:pt idx="4">
                  <c:v>7.5</c:v>
                </c:pt>
                <c:pt idx="5">
                  <c:v>9.8</c:v>
                </c:pt>
                <c:pt idx="6">
                  <c:v>10</c:v>
                </c:pt>
                <c:pt idx="7">
                  <c:v>5.2</c:v>
                </c:pt>
                <c:pt idx="8">
                  <c:v>4.6</c:v>
                </c:pt>
                <c:pt idx="9">
                  <c:v>4.5</c:v>
                </c:pt>
                <c:pt idx="10">
                  <c:v>3.8</c:v>
                </c:pt>
                <c:pt idx="11">
                  <c:v>3.6</c:v>
                </c:pt>
                <c:pt idx="12">
                  <c:v>1.8</c:v>
                </c:pt>
                <c:pt idx="13">
                  <c:v>0.1</c:v>
                </c:pt>
              </c:numCache>
            </c:numRef>
          </c:val>
        </c:ser>
        <c:gapWidth val="150"/>
        <c:overlap val="0"/>
        <c:axId val="994528433"/>
        <c:axId val="831738461"/>
      </c:barChart>
      <c:catAx>
        <c:axId val="994528433"/>
        <c:scaling>
          <c:orientation val="minMax"/>
        </c:scaling>
        <c:axPos val="l"/>
        <c:crossAx val="831738461"/>
        <c:delete val="0"/>
        <c:majorTickMark val="out"/>
        <c:minorTickMark val="none"/>
        <c:tickLblPos val="nextTo"/>
        <c:txPr>
          <a:bodyPr rot="0" vert="horz" wrap="none" lIns="0" tIns="0" rIns="0" bIns="0" anchor="ctr" anchorCtr="1"/>
          <a:p>
            <a:pPr algn="l">
              <a:defRPr sz="800" b="0" i="0" u="none">
                <a:solidFill>
                  <a:sysClr val="windowText" lastClr="000000"/>
                </a:solidFill>
                <a:latin typeface="함초롬돋움"/>
                <a:ea typeface="함초롬돋움"/>
                <a:cs typeface="함초롬돋움"/>
                <a:sym typeface="함초롬돋움"/>
              </a:defRPr>
            </a:pPr>
            <a:endParaRPr/>
          </a:p>
        </c:txPr>
        <c:crosses val="autoZero"/>
        <c:auto val="1"/>
        <c:lblAlgn val="ctr"/>
        <c:lblOffset val="100"/>
        <c:tickMarkSkip val="1"/>
        <c:noMultiLvlLbl val="0"/>
      </c:catAx>
      <c:valAx>
        <c:axId val="831738461"/>
        <c:scaling>
          <c:orientation val="minMax"/>
        </c:scaling>
        <c:axPos val="b"/>
        <c:crossAx val="994528433"/>
        <c:delete val="0"/>
        <c:numFmt formatCode="General" sourceLinked="1"/>
        <c:majorTickMark val="out"/>
        <c:minorTickMark val="none"/>
        <c:tickLblPos val="nextTo"/>
        <c:crosses val="autoZero"/>
        <c:crossBetween val="between"/>
      </c:valAx>
      <c:spPr>
        <a:noFill/>
        <a:ln w="9525" cap="flat" cmpd="sng" algn="ctr">
          <a:noFill/>
          <a:prstDash val="solid"/>
          <a:round/>
          <a:headEnd w="med" len="med"/>
          <a:tailEnd w="med" len="med"/>
        </a:ln>
      </c:spPr>
    </c:plotArea>
    <c:legend>
      <c:legendPos val="r"/>
      <c:layout/>
      <c:overlay val="0"/>
    </c:legend>
    <c:plotVisOnly val="0"/>
    <c:dispBlanksAs val="gap"/>
  </c:chart>
  <c:txPr>
    <a:bodyPr rot="0" vert="horz" wrap="none" lIns="0" tIns="0" rIns="0" bIns="0" anchor="ctr" anchorCtr="1"/>
    <a:p>
      <a:pPr algn="l">
        <a:defRPr sz="1000" b="0" i="0" u="none">
          <a:latin typeface="함초롬돋움"/>
          <a:ea typeface="함초롬돋움"/>
          <a:cs typeface="함초롬돋움"/>
          <a:sym typeface="함초롬돋움"/>
        </a:defRPr>
      </a:pPr>
      <a:endParaRPr/>
    </a:p>
  </c:txPr>
  <c:extLst>
    <c:ext uri="CC8EB2C9-7E31-499d-B8F2-F6CE61031016">
      <ho:hncChartStyle xmlns:ho="http://schemas.haansoft.com/office/8.0" layoutIndex="-1" colorIndex="0" styleIndex="-1"/>
    </c:ext>
  </c:extLst>
</c:chartSpace>
</file>

<file path=word/charts/chart1.xml><?xml version="1.0" encoding="utf-8"?>
<c:chartSpace xmlns:r="http://schemas.openxmlformats.org/officeDocument/2006/relationships" xmlns:a="http://schemas.openxmlformats.org/drawingml/2006/main" xmlns:c="http://schemas.openxmlformats.org/drawingml/2006/chart">
  <c:date1904 val="0"/>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wrap="none" lIns="0" tIns="0" rIns="0" bIns="0" anchor="ctr" anchorCtr="1"/>
          <a:p>
            <a:pPr algn="l">
              <a:defRPr sz="1400" b="0" i="0" u="none">
                <a:solidFill>
                  <a:sysClr val="windowText" lastClr="000000"/>
                </a:solidFill>
                <a:latin typeface="함초롬돋움"/>
                <a:ea typeface="함초롬돋움"/>
                <a:cs typeface="함초롬돋움"/>
                <a:sym typeface="함초롬돋움"/>
              </a:defRPr>
            </a:pPr>
            <a:r>
              <a:rPr sz="1400" b="0" i="0" u="none">
                <a:solidFill>
                  <a:sysClr val="windowText" lastClr="000000"/>
                </a:solidFill>
                <a:latin typeface="함초롬돋움"/>
                <a:ea typeface="함초롬돋움"/>
                <a:cs typeface="함초롬돋움"/>
                <a:sym typeface="함초롬돋움"/>
              </a:rPr>
              <a:t>IoT 사업 에로사항</a:t>
            </a:r>
            <a:endParaRPr/>
          </a:p>
        </c:rich>
      </c:tx>
      <c:layout/>
      <c:overlay val="0"/>
    </c:title>
    <c:autoTitleDeleted val="0"/>
    <c:plotArea>
      <c:layout/>
      <c:barChart>
        <c:barDir val="bar"/>
        <c:grouping val="clustered"/>
        <c:varyColors val="0"/>
        <c:ser>
          <c:idx val="0"/>
          <c:order val="0"/>
          <c:tx>
            <c:strRef>
              <c:f>Formula</c:f>
              <c:strCache>
                <c:ptCount val="1"/>
                <c:pt idx="0">
                  <c:v>2019</c:v>
                </c:pt>
              </c:strCache>
            </c:strRef>
          </c:tx>
          <c:invertIfNegative val="0"/>
          <c:cat>
            <c:strRef>
              <c:f>General</c:f>
              <c:strCache>
                <c:ptCount val="10"/>
                <c:pt idx="0">
                  <c:v>사업추진 자금의 부족</c:v>
                </c:pt>
                <c:pt idx="1">
                  <c:v>정부의 정책적 지원 미비</c:v>
                </c:pt>
                <c:pt idx="2">
                  <c:v>불확실한 시장성</c:v>
                </c:pt>
                <c:pt idx="3">
                  <c:v>표준화 미비</c:v>
                </c:pt>
                <c:pt idx="4">
                  <c:v>비즈니스 모델 부재</c:v>
                </c:pt>
                <c:pt idx="5">
                  <c:v>보유 기술력/인력 부족</c:v>
                </c:pt>
                <c:pt idx="6">
                  <c:v>가격 부담</c:v>
                </c:pt>
                <c:pt idx="7">
                  <c:v>사물인터넷 인식 부족</c:v>
                </c:pt>
                <c:pt idx="8">
                  <c:v>기타</c:v>
                </c:pt>
                <c:pt idx="9">
                  <c:v>무응답</c:v>
                </c:pt>
              </c:strCache>
            </c:strRef>
          </c:cat>
          <c:val>
            <c:numRef>
              <c:f>Formula</c:f>
              <c:numCache>
                <c:formatCode>General</c:formatCode>
                <c:ptCount val="10"/>
                <c:pt idx="0">
                  <c:v>21.2</c:v>
                </c:pt>
                <c:pt idx="1">
                  <c:v>19.2</c:v>
                </c:pt>
                <c:pt idx="2">
                  <c:v>13.7</c:v>
                </c:pt>
                <c:pt idx="3">
                  <c:v>11.8</c:v>
                </c:pt>
                <c:pt idx="4">
                  <c:v>10.6</c:v>
                </c:pt>
                <c:pt idx="5">
                  <c:v>10.0</c:v>
                </c:pt>
                <c:pt idx="6">
                  <c:v>7.1</c:v>
                </c:pt>
                <c:pt idx="7">
                  <c:v>5.8</c:v>
                </c:pt>
                <c:pt idx="8">
                  <c:v>0.5</c:v>
                </c:pt>
                <c:pt idx="9">
                  <c:v>0</c:v>
                </c:pt>
              </c:numCache>
            </c:numRef>
          </c:val>
        </c:ser>
        <c:ser>
          <c:idx val="1"/>
          <c:order val="1"/>
          <c:tx>
            <c:strRef>
              <c:f>Formula</c:f>
              <c:strCache>
                <c:ptCount val="1"/>
                <c:pt idx="0">
                  <c:v>2020</c:v>
                </c:pt>
              </c:strCache>
            </c:strRef>
          </c:tx>
          <c:invertIfNegative val="0"/>
          <c:cat>
            <c:strRef>
              <c:f>General</c:f>
              <c:strCache>
                <c:ptCount val="10"/>
                <c:pt idx="0">
                  <c:v>사업추진 자금의 부족</c:v>
                </c:pt>
                <c:pt idx="1">
                  <c:v>정부의 정책적 지원 미비</c:v>
                </c:pt>
                <c:pt idx="2">
                  <c:v>불확실한 시장성</c:v>
                </c:pt>
                <c:pt idx="3">
                  <c:v>표준화 미비</c:v>
                </c:pt>
                <c:pt idx="4">
                  <c:v>비즈니스 모델 부재</c:v>
                </c:pt>
                <c:pt idx="5">
                  <c:v>보유 기술력/인력 부족</c:v>
                </c:pt>
                <c:pt idx="6">
                  <c:v>가격 부담</c:v>
                </c:pt>
                <c:pt idx="7">
                  <c:v>사물인터넷 인식 부족</c:v>
                </c:pt>
                <c:pt idx="8">
                  <c:v>기타</c:v>
                </c:pt>
                <c:pt idx="9">
                  <c:v>무응답</c:v>
                </c:pt>
              </c:strCache>
            </c:strRef>
          </c:cat>
          <c:val>
            <c:numRef>
              <c:f>Formula</c:f>
              <c:numCache>
                <c:formatCode>General</c:formatCode>
                <c:ptCount val="10"/>
                <c:pt idx="0">
                  <c:v>22.5</c:v>
                </c:pt>
                <c:pt idx="1">
                  <c:v>15.9</c:v>
                </c:pt>
                <c:pt idx="2">
                  <c:v>13.4</c:v>
                </c:pt>
                <c:pt idx="3">
                  <c:v>10.4</c:v>
                </c:pt>
                <c:pt idx="4">
                  <c:v>9.5</c:v>
                </c:pt>
                <c:pt idx="5">
                  <c:v>13.0</c:v>
                </c:pt>
                <c:pt idx="6">
                  <c:v>7.1</c:v>
                </c:pt>
                <c:pt idx="7">
                  <c:v>6.2</c:v>
                </c:pt>
                <c:pt idx="8">
                  <c:v>1.1</c:v>
                </c:pt>
                <c:pt idx="9">
                  <c:v>0.9</c:v>
                </c:pt>
              </c:numCache>
            </c:numRef>
          </c:val>
        </c:ser>
        <c:ser>
          <c:idx val="2"/>
          <c:order val="2"/>
          <c:tx>
            <c:strRef>
              <c:f>Formula</c:f>
              <c:strCache>
                <c:ptCount val="1"/>
                <c:pt idx="0">
                  <c:v>2021</c:v>
                </c:pt>
              </c:strCache>
            </c:strRef>
          </c:tx>
          <c:invertIfNegative val="0"/>
          <c:cat>
            <c:strRef>
              <c:f>General</c:f>
              <c:strCache>
                <c:ptCount val="10"/>
                <c:pt idx="0">
                  <c:v>사업추진 자금의 부족</c:v>
                </c:pt>
                <c:pt idx="1">
                  <c:v>정부의 정책적 지원 미비</c:v>
                </c:pt>
                <c:pt idx="2">
                  <c:v>불확실한 시장성</c:v>
                </c:pt>
                <c:pt idx="3">
                  <c:v>표준화 미비</c:v>
                </c:pt>
                <c:pt idx="4">
                  <c:v>비즈니스 모델 부재</c:v>
                </c:pt>
                <c:pt idx="5">
                  <c:v>보유 기술력/인력 부족</c:v>
                </c:pt>
                <c:pt idx="6">
                  <c:v>가격 부담</c:v>
                </c:pt>
                <c:pt idx="7">
                  <c:v>사물인터넷 인식 부족</c:v>
                </c:pt>
                <c:pt idx="8">
                  <c:v>기타</c:v>
                </c:pt>
                <c:pt idx="9">
                  <c:v>무응답</c:v>
                </c:pt>
              </c:strCache>
            </c:strRef>
          </c:cat>
          <c:val>
            <c:numRef>
              <c:f>Formula</c:f>
              <c:numCache>
                <c:formatCode>General</c:formatCode>
                <c:ptCount val="10"/>
                <c:pt idx="0">
                  <c:v>23.2</c:v>
                </c:pt>
                <c:pt idx="1">
                  <c:v>15.1</c:v>
                </c:pt>
                <c:pt idx="2">
                  <c:v>12.9</c:v>
                </c:pt>
                <c:pt idx="3">
                  <c:v>10.0</c:v>
                </c:pt>
                <c:pt idx="4">
                  <c:v>9.6</c:v>
                </c:pt>
                <c:pt idx="5">
                  <c:v>13.3</c:v>
                </c:pt>
                <c:pt idx="6">
                  <c:v>7.4</c:v>
                </c:pt>
                <c:pt idx="7">
                  <c:v>5.8</c:v>
                </c:pt>
                <c:pt idx="8">
                  <c:v>1.7</c:v>
                </c:pt>
                <c:pt idx="9">
                  <c:v>0.8</c:v>
                </c:pt>
              </c:numCache>
            </c:numRef>
          </c:val>
        </c:ser>
        <c:gapWidth val="150"/>
        <c:overlap val="0"/>
        <c:axId val="22093157"/>
        <c:axId val="55609811"/>
      </c:barChart>
      <c:catAx>
        <c:axId val="22093157"/>
        <c:scaling>
          <c:orientation val="minMax"/>
        </c:scaling>
        <c:axPos val="l"/>
        <c:crossAx val="55609811"/>
        <c:delete val="0"/>
        <c:majorTickMark val="out"/>
        <c:minorTickMark val="none"/>
        <c:tickLblPos val="nextTo"/>
        <c:crosses val="autoZero"/>
        <c:auto val="1"/>
        <c:lblAlgn val="ctr"/>
        <c:lblOffset val="100"/>
        <c:tickMarkSkip val="1"/>
        <c:noMultiLvlLbl val="0"/>
      </c:catAx>
      <c:valAx>
        <c:axId val="55609811"/>
        <c:scaling>
          <c:orientation val="minMax"/>
        </c:scaling>
        <c:axPos val="b"/>
        <c:crossAx val="22093157"/>
        <c:delete val="0"/>
        <c:majorGridlines/>
        <c:numFmt formatCode="General" sourceLinked="1"/>
        <c:majorTickMark val="out"/>
        <c:minorTickMark val="none"/>
        <c:tickLblPos val="nextTo"/>
        <c:crosses val="autoZero"/>
        <c:crossBetween val="between"/>
      </c:valAx>
      <c:spPr>
        <a:noFill/>
        <a:ln w="9525" cap="flat" cmpd="sng" algn="ctr">
          <a:noFill/>
          <a:prstDash val="solid"/>
          <a:round/>
          <a:headEnd w="med" len="med"/>
          <a:tailEnd w="med" len="med"/>
        </a:ln>
      </c:spPr>
    </c:plotArea>
    <c:legend>
      <c:legendPos val="r"/>
      <c:layout/>
      <c:overlay val="0"/>
    </c:legend>
    <c:plotVisOnly val="0"/>
    <c:dispBlanksAs val="gap"/>
  </c:chart>
  <c:txPr>
    <a:bodyPr rot="0" vert="horz" wrap="none" lIns="0" tIns="0" rIns="0" bIns="0" anchor="ctr" anchorCtr="1"/>
    <a:p>
      <a:pPr algn="l">
        <a:defRPr sz="1000" b="0" i="0" u="none">
          <a:latin typeface="함초롬돋움"/>
          <a:ea typeface="함초롬돋움"/>
          <a:cs typeface="함초롬돋움"/>
          <a:sym typeface="함초롬돋움"/>
        </a:defRPr>
      </a:pPr>
      <a:endParaRPr/>
    </a:p>
  </c:txPr>
  <c:extLst>
    <c:ext uri="CC8EB2C9-7E31-499d-B8F2-F6CE61031016">
      <ho:hncChartStyle xmlns:ho="http://schemas.haansoft.com/office/8.0" layoutIndex="-1" colorIndex="0" styleIndex="-1"/>
    </c:ext>
  </c:extLst>
</c:chartSpace>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보고서 표지</dc:title>
  <dc:creator>shinw</dc:creator>
  <cp:keywords>보고서, 표지</cp:keywords>
  <cp:lastModifiedBy>shinw</cp:lastModifiedBy>
  <dcterms:created xsi:type="dcterms:W3CDTF">2023-03-30T11:06:28.000</dcterms:created>
  <dcterms:modified xsi:type="dcterms:W3CDTF">2023-03-31T07:18:00.634</dcterms:modified>
  <cp:version>0501.0100.01</cp:version>
</cp:coreProperties>
</file>