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ScrivenerSync</w:t>
      </w:r>
    </w:p>
    <w:p/>
    <w:p>
      <w:r>
        <w:t>Billing Domain Model</w:t>
      </w:r>
    </w:p>
    <w:p/>
    <w:p>
      <w:r>
        <w:t>Phase 1  |  Version 2</w:t>
      </w:r>
    </w:p>
    <w:p/>
    <w:p>
      <w:r>
        <w:t>1. Purpose and Scope</w:t>
      </w:r>
    </w:p>
    <w:p/>
    <w:p>
      <w:r>
        <w:t>This document defines the billing domain model for ScrivenerSync. It specifies the entities, enumerations, business rules, domain services, and invariants required to enforce subscription tier limits, track billing provider state, and route billing events from external providers into the application domain.</w:t>
      </w:r>
    </w:p>
    <w:p/>
    <w:p>
      <w:r>
        <w:t>Version 2 extends the model to fully specify lapse behaviour: the grace period mechanic, the active-book selection flow, the invisible-development rule for inactive projects, and the immediate publishing restriction that applies on lapse. These rules are designed so that a subscription lapse is invisible to readers for as long as reasonably possible, and the author is never publicly embarrassed by a payment disruption.</w:t>
      </w:r>
    </w:p>
    <w:p/>
    <w:p>
      <w:r>
        <w:t>The billing system is designed to be backend-agnostic. All interactions with an external billing provider are mediated through an abstract IBillingProvider interface. Two concrete implementations are planned: one targeting Creem and one targeting Paddle. The active provider is selected by configuration at startup; no provider-specific logic appears in the domain or application layers.</w:t>
      </w:r>
    </w:p>
    <w:p/>
    <w:p>
      <w:r>
        <w:t>Billing entities are intentionally minimal. ScrivenerSync does not store payment card data, process payments, or manage invoices internally. The external provider owns the payment lifecycle. The domain stores only the state required to enforce tier limits and surface subscription status to the author dashboard.</w:t>
      </w:r>
    </w:p>
    <w:p/>
    <w:p>
      <w:r>
        <w:t>This document is a companion to the ScrivenerSync Business Domain Model. It references entities defined there (Tenancy, Account, ScrivenerProject, TenancyMembership) but does not redefine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