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32"/>
          <w:szCs w:val="32"/>
        </w:rPr>
      </w:pPr>
      <w:r w:rsidDel="00000000" w:rsidR="00000000" w:rsidRPr="00000000">
        <w:rPr>
          <w:sz w:val="32"/>
          <w:szCs w:val="32"/>
        </w:rPr>
        <w:drawing>
          <wp:anchor allowOverlap="1" behindDoc="0" distB="114300" distT="114300" distL="114300" distR="114300" hidden="0" layoutInCell="1" locked="0" relativeHeight="0" simplePos="0">
            <wp:simplePos x="0" y="0"/>
            <wp:positionH relativeFrom="page">
              <wp:posOffset>762000</wp:posOffset>
            </wp:positionH>
            <wp:positionV relativeFrom="page">
              <wp:posOffset>104775</wp:posOffset>
            </wp:positionV>
            <wp:extent cx="6248400" cy="1328024"/>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248400" cy="1328024"/>
                    </a:xfrm>
                    <a:prstGeom prst="rect"/>
                    <a:ln/>
                  </pic:spPr>
                </pic:pic>
              </a:graphicData>
            </a:graphic>
          </wp:anchor>
        </w:drawing>
      </w:r>
      <w:r w:rsidDel="00000000" w:rsidR="00000000" w:rsidRPr="00000000">
        <w:rPr>
          <w:sz w:val="32"/>
          <w:szCs w:val="32"/>
          <w:rtl w:val="0"/>
        </w:rPr>
        <w:t xml:space="preserve">                                          </w:t>
      </w:r>
    </w:p>
    <w:p w:rsidR="00000000" w:rsidDel="00000000" w:rsidP="00000000" w:rsidRDefault="00000000" w:rsidRPr="00000000" w14:paraId="00000002">
      <w:pPr>
        <w:jc w:val="both"/>
        <w:rPr>
          <w:b w:val="1"/>
          <w:color w:val="222222"/>
          <w:sz w:val="24"/>
          <w:szCs w:val="24"/>
        </w:rPr>
      </w:pPr>
      <w:r w:rsidDel="00000000" w:rsidR="00000000" w:rsidRPr="00000000">
        <w:rPr>
          <w:sz w:val="32"/>
          <w:szCs w:val="32"/>
          <w:rtl w:val="0"/>
        </w:rPr>
        <w:t xml:space="preserve">                                          </w:t>
      </w:r>
      <w:r w:rsidDel="00000000" w:rsidR="00000000" w:rsidRPr="00000000">
        <w:rPr>
          <w:b w:val="1"/>
          <w:color w:val="222222"/>
          <w:sz w:val="24"/>
          <w:szCs w:val="24"/>
          <w:rtl w:val="0"/>
        </w:rPr>
        <w:t xml:space="preserve">ACTIVITY REPORT</w:t>
      </w:r>
    </w:p>
    <w:p w:rsidR="00000000" w:rsidDel="00000000" w:rsidP="00000000" w:rsidRDefault="00000000" w:rsidRPr="00000000" w14:paraId="00000003">
      <w:pPr>
        <w:shd w:fill="ffffff" w:val="clear"/>
        <w:spacing w:line="240" w:lineRule="auto"/>
        <w:jc w:val="center"/>
        <w:rPr>
          <w:b w:val="1"/>
          <w:color w:val="222222"/>
          <w:sz w:val="24"/>
          <w:szCs w:val="24"/>
        </w:rPr>
      </w:pPr>
      <w:r w:rsidDel="00000000" w:rsidR="00000000" w:rsidRPr="00000000">
        <w:rPr>
          <w:b w:val="1"/>
          <w:color w:val="222222"/>
          <w:sz w:val="24"/>
          <w:szCs w:val="24"/>
          <w:rtl w:val="0"/>
        </w:rPr>
        <w:t xml:space="preserve">   On</w:t>
      </w:r>
    </w:p>
    <w:p w:rsidR="00000000" w:rsidDel="00000000" w:rsidP="00000000" w:rsidRDefault="00000000" w:rsidRPr="00000000" w14:paraId="00000004">
      <w:pPr>
        <w:shd w:fill="ffffff" w:val="clear"/>
        <w:spacing w:line="240" w:lineRule="auto"/>
        <w:jc w:val="center"/>
        <w:rPr>
          <w:b w:val="1"/>
          <w:color w:val="222222"/>
          <w:sz w:val="24"/>
          <w:szCs w:val="24"/>
        </w:rPr>
      </w:pPr>
      <w:r w:rsidDel="00000000" w:rsidR="00000000" w:rsidRPr="00000000">
        <w:rPr>
          <w:rtl w:val="0"/>
        </w:rPr>
      </w:r>
    </w:p>
    <w:p w:rsidR="00000000" w:rsidDel="00000000" w:rsidP="00000000" w:rsidRDefault="00000000" w:rsidRPr="00000000" w14:paraId="00000005">
      <w:pPr>
        <w:jc w:val="both"/>
        <w:rPr>
          <w:b w:val="1"/>
          <w:sz w:val="24"/>
          <w:szCs w:val="24"/>
        </w:rPr>
      </w:pPr>
      <w:r w:rsidDel="00000000" w:rsidR="00000000" w:rsidRPr="00000000">
        <w:rPr>
          <w:sz w:val="32"/>
          <w:szCs w:val="32"/>
          <w:rtl w:val="0"/>
        </w:rPr>
        <w:t xml:space="preserve">                                      </w:t>
      </w:r>
      <w:r w:rsidDel="00000000" w:rsidR="00000000" w:rsidRPr="00000000">
        <w:rPr>
          <w:b w:val="1"/>
          <w:sz w:val="24"/>
          <w:szCs w:val="24"/>
          <w:rtl w:val="0"/>
        </w:rPr>
        <w:t xml:space="preserve">Game Theory Showdown</w:t>
      </w:r>
    </w:p>
    <w:p w:rsidR="00000000" w:rsidDel="00000000" w:rsidP="00000000" w:rsidRDefault="00000000" w:rsidRPr="00000000" w14:paraId="00000006">
      <w:pPr>
        <w:numPr>
          <w:ilvl w:val="0"/>
          <w:numId w:val="1"/>
        </w:numPr>
        <w:shd w:fill="ffffff" w:val="clear"/>
        <w:spacing w:before="280" w:line="360" w:lineRule="auto"/>
        <w:ind w:left="945" w:hanging="315"/>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Name of the Club:</w:t>
      </w:r>
      <w:r w:rsidDel="00000000" w:rsidR="00000000" w:rsidRPr="00000000">
        <w:rPr>
          <w:rFonts w:ascii="Verdana" w:cs="Verdana" w:eastAsia="Verdana" w:hAnsi="Verdana"/>
          <w:color w:val="222222"/>
          <w:sz w:val="20"/>
          <w:szCs w:val="20"/>
          <w:rtl w:val="0"/>
        </w:rPr>
        <w:t xml:space="preserve"> BMSCE ACM STUDENT CHAPTER</w:t>
      </w:r>
    </w:p>
    <w:p w:rsidR="00000000" w:rsidDel="00000000" w:rsidP="00000000" w:rsidRDefault="00000000" w:rsidRPr="00000000" w14:paraId="00000007">
      <w:pPr>
        <w:numPr>
          <w:ilvl w:val="0"/>
          <w:numId w:val="1"/>
        </w:numPr>
        <w:shd w:fill="ffffff" w:val="clear"/>
        <w:spacing w:line="360" w:lineRule="auto"/>
        <w:ind w:left="945" w:hanging="315"/>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Name of the Activity:</w:t>
      </w:r>
      <w:r w:rsidDel="00000000" w:rsidR="00000000" w:rsidRPr="00000000">
        <w:rPr>
          <w:rFonts w:ascii="Verdana" w:cs="Verdana" w:eastAsia="Verdana" w:hAnsi="Verdana"/>
          <w:color w:val="222222"/>
          <w:sz w:val="20"/>
          <w:szCs w:val="20"/>
          <w:rtl w:val="0"/>
        </w:rPr>
        <w:t xml:space="preserve"> Game Theory Showdown</w:t>
      </w:r>
    </w:p>
    <w:p w:rsidR="00000000" w:rsidDel="00000000" w:rsidP="00000000" w:rsidRDefault="00000000" w:rsidRPr="00000000" w14:paraId="00000008">
      <w:pPr>
        <w:numPr>
          <w:ilvl w:val="0"/>
          <w:numId w:val="1"/>
        </w:numPr>
        <w:shd w:fill="ffffff" w:val="clear"/>
        <w:spacing w:line="360" w:lineRule="auto"/>
        <w:ind w:left="945" w:hanging="315"/>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Objectives:</w:t>
      </w:r>
      <w:r w:rsidDel="00000000" w:rsidR="00000000" w:rsidRPr="00000000">
        <w:rPr>
          <w:rFonts w:ascii="Verdana" w:cs="Verdana" w:eastAsia="Verdana" w:hAnsi="Verdana"/>
          <w:color w:val="222222"/>
          <w:sz w:val="20"/>
          <w:szCs w:val="20"/>
          <w:rtl w:val="0"/>
        </w:rPr>
        <w:t xml:space="preserve"> To engage participants in strategic thinking and decision-making through game theory-based activities.</w:t>
      </w:r>
    </w:p>
    <w:p w:rsidR="00000000" w:rsidDel="00000000" w:rsidP="00000000" w:rsidRDefault="00000000" w:rsidRPr="00000000" w14:paraId="00000009">
      <w:pPr>
        <w:numPr>
          <w:ilvl w:val="0"/>
          <w:numId w:val="1"/>
        </w:numPr>
        <w:shd w:fill="ffffff" w:val="clear"/>
        <w:spacing w:line="360" w:lineRule="auto"/>
        <w:ind w:left="945" w:hanging="315"/>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Date, Time, and Venue of the Activity:</w:t>
      </w:r>
      <w:r w:rsidDel="00000000" w:rsidR="00000000" w:rsidRPr="00000000">
        <w:rPr>
          <w:rtl w:val="0"/>
        </w:rPr>
      </w:r>
    </w:p>
    <w:tbl>
      <w:tblPr>
        <w:tblStyle w:val="Table1"/>
        <w:tblW w:w="8364.0" w:type="dxa"/>
        <w:jc w:val="left"/>
        <w:tblInd w:w="55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2"/>
        <w:gridCol w:w="6842"/>
        <w:tblGridChange w:id="0">
          <w:tblGrid>
            <w:gridCol w:w="1522"/>
            <w:gridCol w:w="6842"/>
          </w:tblGrid>
        </w:tblGridChange>
      </w:tblGrid>
      <w:tr>
        <w:trPr>
          <w:cantSplit w:val="0"/>
          <w:trHeight w:val="553"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TOPIC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B">
            <w:pPr>
              <w:shd w:fill="ffffff" w:val="clear"/>
              <w:spacing w:line="36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GAME THEORY SHOWDOWN</w:t>
            </w:r>
          </w:p>
        </w:tc>
      </w:tr>
      <w:tr>
        <w:trPr>
          <w:cantSplit w:val="0"/>
          <w:trHeight w:val="20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DATE/DAY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Tuesday, 9th July, 2024</w:t>
            </w:r>
          </w:p>
        </w:tc>
      </w:tr>
      <w:tr>
        <w:trPr>
          <w:cantSplit w:val="0"/>
          <w:trHeight w:val="18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VENUE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PJ Block CR 507</w:t>
            </w:r>
          </w:p>
        </w:tc>
      </w:tr>
    </w:tbl>
    <w:p w:rsidR="00000000" w:rsidDel="00000000" w:rsidP="00000000" w:rsidRDefault="00000000" w:rsidRPr="00000000" w14:paraId="00000010">
      <w:pPr>
        <w:numPr>
          <w:ilvl w:val="0"/>
          <w:numId w:val="1"/>
        </w:numPr>
        <w:shd w:fill="ffffff" w:val="clear"/>
        <w:spacing w:before="280" w:line="360" w:lineRule="auto"/>
        <w:ind w:left="945" w:hanging="315"/>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Name and details of collaborating agency (if it is collaborative/joint activity):</w:t>
      </w:r>
      <w:r w:rsidDel="00000000" w:rsidR="00000000" w:rsidRPr="00000000">
        <w:rPr>
          <w:rFonts w:ascii="Verdana" w:cs="Verdana" w:eastAsia="Verdana" w:hAnsi="Verdana"/>
          <w:color w:val="222222"/>
          <w:sz w:val="20"/>
          <w:szCs w:val="20"/>
          <w:rtl w:val="0"/>
        </w:rPr>
        <w:t xml:space="preserve"> Pentagram: The Mathematics Society of BMSCE</w:t>
      </w:r>
    </w:p>
    <w:p w:rsidR="00000000" w:rsidDel="00000000" w:rsidP="00000000" w:rsidRDefault="00000000" w:rsidRPr="00000000" w14:paraId="00000011">
      <w:pPr>
        <w:numPr>
          <w:ilvl w:val="0"/>
          <w:numId w:val="1"/>
        </w:numPr>
        <w:shd w:fill="ffffff" w:val="clear"/>
        <w:spacing w:before="280" w:line="360" w:lineRule="auto"/>
        <w:ind w:left="945" w:hanging="315"/>
        <w:jc w:val="both"/>
        <w:rPr>
          <w:rFonts w:ascii="Verdana" w:cs="Verdana" w:eastAsia="Verdana" w:hAnsi="Verdana"/>
          <w:color w:val="222222"/>
          <w:sz w:val="20"/>
          <w:szCs w:val="20"/>
          <w:u w:val="none"/>
        </w:rPr>
      </w:pPr>
      <w:r w:rsidDel="00000000" w:rsidR="00000000" w:rsidRPr="00000000">
        <w:rPr>
          <w:rFonts w:ascii="Verdana" w:cs="Verdana" w:eastAsia="Verdana" w:hAnsi="Verdana"/>
          <w:b w:val="1"/>
          <w:color w:val="222222"/>
          <w:sz w:val="20"/>
          <w:szCs w:val="20"/>
          <w:rtl w:val="0"/>
        </w:rPr>
        <w:t xml:space="preserve">Summary of the Programme: </w:t>
      </w:r>
      <w:r w:rsidDel="00000000" w:rsidR="00000000" w:rsidRPr="00000000">
        <w:rPr>
          <w:rFonts w:ascii="Verdana" w:cs="Verdana" w:eastAsia="Verdana" w:hAnsi="Verdana"/>
          <w:color w:val="222222"/>
          <w:sz w:val="20"/>
          <w:szCs w:val="20"/>
          <w:rtl w:val="0"/>
        </w:rPr>
        <w:t xml:space="preserve">Game Theory Showdown, an intellectually stimulating event focusing on the application of game theory in strategic decision-making, captivated participants through three challenging rounds. Hosted in collaboration with Pentagram: The Mathematical Society of BMSCE, the event aimed to test strategic thinking and decision-making skills in a fun and competitive environment. Participants engaged in various game-theory-based challenges, learning and applying key concepts in a competitive and entertaining atmosphere.</w:t>
      </w:r>
    </w:p>
    <w:p w:rsidR="00000000" w:rsidDel="00000000" w:rsidP="00000000" w:rsidRDefault="00000000" w:rsidRPr="00000000" w14:paraId="00000012">
      <w:pPr>
        <w:shd w:fill="ffffff" w:val="clear"/>
        <w:spacing w:after="240" w:before="240" w:line="360" w:lineRule="auto"/>
        <w:ind w:left="720" w:firstLine="0"/>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Rounds: The event kicked off with the first round featuring "Matching Pennies" and "Dynamic Rock-Paper-Scissors-Lizard-Spock (RPSLS) with Cards." These classic games introduced participants to mixed strategies and Nash equilibrium, requiring quick thinking and adaptability. The second round advanced to more complex scenarios with "Sealed Bid Auctions" and "Bertrand Competition." These games emphasized strategic bidding and pricing, teaching participants to balance competitive pricing with profit maximization. Each round consisted of multiple iterations to allow strategy development and adjustment.</w:t>
      </w:r>
    </w:p>
    <w:p w:rsidR="00000000" w:rsidDel="00000000" w:rsidP="00000000" w:rsidRDefault="00000000" w:rsidRPr="00000000" w14:paraId="00000013">
      <w:pPr>
        <w:shd w:fill="ffffff" w:val="clear"/>
        <w:spacing w:after="240" w:before="240" w:line="360" w:lineRule="auto"/>
        <w:ind w:left="720" w:firstLine="0"/>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Final Round: The final round culminated in the intense "Prisoner's Dilemma," where participants tested their ability to build trust and decide whether to cooperate or betray without knowing the other's choice. This game highlighted the importance of trust and strategic decision-making over multiple iterations. Participants showcased their logical reasoning, strategic planning, and adaptability throughout the event. The collaboration with Pentagram added academic rigor, ensuring the games were both entertaining and educational, leaving participants with a deeper understanding of game theory principles.</w:t>
      </w:r>
    </w:p>
    <w:p w:rsidR="00000000" w:rsidDel="00000000" w:rsidP="00000000" w:rsidRDefault="00000000" w:rsidRPr="00000000" w14:paraId="00000014">
      <w:pPr>
        <w:numPr>
          <w:ilvl w:val="0"/>
          <w:numId w:val="1"/>
        </w:numPr>
        <w:shd w:fill="ffffff" w:val="clear"/>
        <w:spacing w:after="280" w:line="360" w:lineRule="auto"/>
        <w:ind w:left="945" w:hanging="315"/>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Outcomes: </w:t>
      </w:r>
      <w:r w:rsidDel="00000000" w:rsidR="00000000" w:rsidRPr="00000000">
        <w:rPr>
          <w:rFonts w:ascii="Verdana" w:cs="Verdana" w:eastAsia="Verdana" w:hAnsi="Verdana"/>
          <w:color w:val="222222"/>
          <w:sz w:val="20"/>
          <w:szCs w:val="20"/>
          <w:rtl w:val="0"/>
        </w:rPr>
        <w:t xml:space="preserve">The event successfully enhanced participants' understanding of game theory concepts, fostered a spirit of healthy competition, and provided a platform for the practical application of strategic thinking. Participants demonstrated improved logical reasoning, strategic planning, and adaptability. The collaboration with Pentagram ensured academic rigor and educational value throughout the event.</w:t>
      </w:r>
    </w:p>
    <w:p w:rsidR="00000000" w:rsidDel="00000000" w:rsidP="00000000" w:rsidRDefault="00000000" w:rsidRPr="00000000" w14:paraId="00000015">
      <w:pPr>
        <w:numPr>
          <w:ilvl w:val="0"/>
          <w:numId w:val="1"/>
        </w:numPr>
        <w:shd w:fill="ffffff" w:val="clear"/>
        <w:spacing w:after="280" w:line="360" w:lineRule="auto"/>
        <w:ind w:left="945" w:hanging="315"/>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Number of participants:</w:t>
      </w:r>
      <w:r w:rsidDel="00000000" w:rsidR="00000000" w:rsidRPr="00000000">
        <w:rPr>
          <w:rFonts w:ascii="Verdana" w:cs="Verdana" w:eastAsia="Verdana" w:hAnsi="Verdana"/>
          <w:color w:val="222222"/>
          <w:sz w:val="20"/>
          <w:szCs w:val="20"/>
          <w:rtl w:val="0"/>
        </w:rPr>
        <w:t xml:space="preserve"> </w:t>
      </w:r>
    </w:p>
    <w:tbl>
      <w:tblPr>
        <w:tblStyle w:val="Table2"/>
        <w:tblpPr w:leftFromText="180" w:rightFromText="180" w:topFromText="180" w:bottomFromText="180" w:vertAnchor="text" w:horzAnchor="text" w:tblpX="225" w:tblpY="0"/>
        <w:tblW w:w="87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6"/>
        <w:gridCol w:w="2151"/>
        <w:gridCol w:w="2290"/>
        <w:gridCol w:w="2244"/>
        <w:tblGridChange w:id="0">
          <w:tblGrid>
            <w:gridCol w:w="2066"/>
            <w:gridCol w:w="2151"/>
            <w:gridCol w:w="2290"/>
            <w:gridCol w:w="2244"/>
          </w:tblGrid>
        </w:tblGridChange>
      </w:tblGrid>
      <w:tr>
        <w:trPr>
          <w:cantSplit w:val="0"/>
          <w:trHeight w:val="48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6">
            <w:pPr>
              <w:spacing w:line="240" w:lineRule="auto"/>
              <w:jc w:val="center"/>
              <w:rPr>
                <w:rFonts w:ascii="Helvetica Neue" w:cs="Helvetica Neue" w:eastAsia="Helvetica Neue" w:hAnsi="Helvetica Neue"/>
                <w:sz w:val="20"/>
                <w:szCs w:val="20"/>
              </w:rPr>
            </w:pPr>
            <w:r w:rsidDel="00000000" w:rsidR="00000000" w:rsidRPr="00000000">
              <w:rPr>
                <w:rFonts w:ascii="Verdana" w:cs="Verdana" w:eastAsia="Verdana" w:hAnsi="Verdana"/>
                <w:sz w:val="20"/>
                <w:szCs w:val="20"/>
                <w:rtl w:val="0"/>
              </w:rPr>
              <w:t xml:space="preserve">Number of Faculty</w:t>
            </w:r>
            <w:r w:rsidDel="00000000" w:rsidR="00000000" w:rsidRPr="00000000">
              <w:rPr>
                <w:rtl w:val="0"/>
              </w:rPr>
            </w:r>
          </w:p>
          <w:p w:rsidR="00000000" w:rsidDel="00000000" w:rsidP="00000000" w:rsidRDefault="00000000" w:rsidRPr="00000000" w14:paraId="00000017">
            <w:pPr>
              <w:spacing w:line="240" w:lineRule="auto"/>
              <w:jc w:val="center"/>
              <w:rPr>
                <w:rFonts w:ascii="Verdana" w:cs="Verdana" w:eastAsia="Verdana" w:hAnsi="Verdana"/>
                <w:color w:val="222222"/>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spacing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Number of</w:t>
            </w:r>
          </w:p>
          <w:p w:rsidR="00000000" w:rsidDel="00000000" w:rsidP="00000000" w:rsidRDefault="00000000" w:rsidRPr="00000000" w14:paraId="00000019">
            <w:pPr>
              <w:spacing w:line="240" w:lineRule="auto"/>
              <w:jc w:val="center"/>
              <w:rPr>
                <w:rFonts w:ascii="Verdana" w:cs="Verdana" w:eastAsia="Verdana" w:hAnsi="Verdana"/>
                <w:color w:val="222222"/>
                <w:sz w:val="20"/>
                <w:szCs w:val="20"/>
              </w:rPr>
            </w:pPr>
            <w:r w:rsidDel="00000000" w:rsidR="00000000" w:rsidRPr="00000000">
              <w:rPr>
                <w:rFonts w:ascii="Verdana" w:cs="Verdana" w:eastAsia="Verdana" w:hAnsi="Verdana"/>
                <w:sz w:val="20"/>
                <w:szCs w:val="20"/>
                <w:rtl w:val="0"/>
              </w:rPr>
              <w:t xml:space="preserve">Non-Teaching Staff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A">
            <w:pPr>
              <w:spacing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Number of</w:t>
            </w:r>
          </w:p>
          <w:p w:rsidR="00000000" w:rsidDel="00000000" w:rsidP="00000000" w:rsidRDefault="00000000" w:rsidRPr="00000000" w14:paraId="0000001B">
            <w:pPr>
              <w:spacing w:line="240" w:lineRule="auto"/>
              <w:jc w:val="center"/>
              <w:rPr>
                <w:rFonts w:ascii="Verdana" w:cs="Verdana" w:eastAsia="Verdana" w:hAnsi="Verdana"/>
                <w:color w:val="222222"/>
                <w:sz w:val="20"/>
                <w:szCs w:val="20"/>
              </w:rPr>
            </w:pPr>
            <w:r w:rsidDel="00000000" w:rsidR="00000000" w:rsidRPr="00000000">
              <w:rPr>
                <w:rFonts w:ascii="Verdana" w:cs="Verdana" w:eastAsia="Verdana" w:hAnsi="Verdana"/>
                <w:sz w:val="20"/>
                <w:szCs w:val="20"/>
                <w:rtl w:val="0"/>
              </w:rPr>
              <w:t xml:space="preserve">External Participants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C">
            <w:pPr>
              <w:spacing w:line="240" w:lineRule="auto"/>
              <w:jc w:val="center"/>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Number of Students</w:t>
            </w:r>
          </w:p>
        </w:tc>
      </w:tr>
      <w:tr>
        <w:trPr>
          <w:cantSplit w:val="0"/>
          <w:trHeight w:val="48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D">
            <w:pPr>
              <w:spacing w:line="360" w:lineRule="auto"/>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E">
            <w:pPr>
              <w:spacing w:line="360" w:lineRule="auto"/>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F">
            <w:pPr>
              <w:spacing w:line="360" w:lineRule="auto"/>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0">
            <w:pPr>
              <w:spacing w:line="360" w:lineRule="auto"/>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25</w:t>
            </w:r>
          </w:p>
        </w:tc>
      </w:tr>
    </w:tbl>
    <w:p w:rsidR="00000000" w:rsidDel="00000000" w:rsidP="00000000" w:rsidRDefault="00000000" w:rsidRPr="00000000" w14:paraId="00000021">
      <w:pPr>
        <w:shd w:fill="ffffff" w:val="clear"/>
        <w:spacing w:line="240" w:lineRule="auto"/>
        <w:ind w:left="945" w:firstLine="0"/>
        <w:jc w:val="both"/>
        <w:rPr/>
      </w:pPr>
      <w:r w:rsidDel="00000000" w:rsidR="00000000" w:rsidRPr="00000000">
        <w:rPr>
          <w:rtl w:val="0"/>
        </w:rPr>
      </w:r>
    </w:p>
    <w:p w:rsidR="00000000" w:rsidDel="00000000" w:rsidP="00000000" w:rsidRDefault="00000000" w:rsidRPr="00000000" w14:paraId="00000022">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3">
      <w:pPr>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24">
      <w:pPr>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25">
      <w:pPr>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26">
      <w:pPr>
        <w:numPr>
          <w:ilvl w:val="0"/>
          <w:numId w:val="1"/>
        </w:numPr>
        <w:shd w:fill="ffffff" w:val="clear"/>
        <w:spacing w:line="240" w:lineRule="auto"/>
        <w:ind w:left="945" w:hanging="315"/>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Relevant Photographs of the activity: (Geo-tagged photos are preferable)</w:t>
      </w:r>
      <w:r w:rsidDel="00000000" w:rsidR="00000000" w:rsidRPr="00000000">
        <w:rPr>
          <w:rtl w:val="0"/>
        </w:rPr>
      </w:r>
    </w:p>
    <w:p w:rsidR="00000000" w:rsidDel="00000000" w:rsidP="00000000" w:rsidRDefault="00000000" w:rsidRPr="00000000" w14:paraId="00000027">
      <w:pPr>
        <w:shd w:fill="ffffff" w:val="clear"/>
        <w:spacing w:after="160" w:line="259" w:lineRule="auto"/>
        <w:jc w:val="center"/>
        <w:rPr>
          <w:rFonts w:ascii="Verdana" w:cs="Verdana" w:eastAsia="Verdana" w:hAnsi="Verdana"/>
          <w:b w:val="1"/>
          <w:color w:val="222222"/>
          <w:sz w:val="20"/>
          <w:szCs w:val="20"/>
        </w:rPr>
      </w:pPr>
      <w:r w:rsidDel="00000000" w:rsidR="00000000" w:rsidRPr="00000000">
        <w:rPr>
          <w:rFonts w:ascii="Verdana" w:cs="Verdana" w:eastAsia="Verdana" w:hAnsi="Verdana"/>
          <w:color w:val="222222"/>
          <w:sz w:val="24"/>
          <w:szCs w:val="24"/>
        </w:rPr>
        <w:drawing>
          <wp:inline distB="114300" distT="114300" distL="114300" distR="114300">
            <wp:extent cx="4233863" cy="2380549"/>
            <wp:effectExtent b="0" l="0" r="0" t="0"/>
            <wp:docPr id="4"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4233863" cy="2380549"/>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90"/>
      </w:pPr>
      <w:rPr>
        <w:b w:val="1"/>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ZC87JVPr0zJICNZlr0pfNpdv8w==">CgMxLjA4AHIhMU9rR2JPeFZHVnJndk5PZ2l4N2FNXzRNRnNBVmFHX216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