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32"/>
          <w:szCs w:val="32"/>
        </w:rPr>
      </w:pPr>
      <w:r w:rsidDel="00000000" w:rsidR="00000000" w:rsidRPr="00000000">
        <w:rPr>
          <w:sz w:val="32"/>
          <w:szCs w:val="32"/>
        </w:rPr>
        <w:drawing>
          <wp:anchor allowOverlap="1" behindDoc="0" distB="114300" distT="114300" distL="114300" distR="114300" hidden="0" layoutInCell="1" locked="0" relativeHeight="0" simplePos="0">
            <wp:simplePos x="0" y="0"/>
            <wp:positionH relativeFrom="page">
              <wp:posOffset>762000</wp:posOffset>
            </wp:positionH>
            <wp:positionV relativeFrom="page">
              <wp:posOffset>104775</wp:posOffset>
            </wp:positionV>
            <wp:extent cx="6248400" cy="1328024"/>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248400" cy="1328024"/>
                    </a:xfrm>
                    <a:prstGeom prst="rect"/>
                    <a:ln/>
                  </pic:spPr>
                </pic:pic>
              </a:graphicData>
            </a:graphic>
          </wp:anchor>
        </w:drawing>
      </w:r>
      <w:r w:rsidDel="00000000" w:rsidR="00000000" w:rsidRPr="00000000">
        <w:rPr>
          <w:sz w:val="32"/>
          <w:szCs w:val="32"/>
          <w:rtl w:val="0"/>
        </w:rPr>
        <w:t xml:space="preserve">                                          </w:t>
      </w:r>
    </w:p>
    <w:p w:rsidR="00000000" w:rsidDel="00000000" w:rsidP="00000000" w:rsidRDefault="00000000" w:rsidRPr="00000000" w14:paraId="00000002">
      <w:pPr>
        <w:jc w:val="both"/>
        <w:rPr>
          <w:b w:val="1"/>
          <w:color w:val="222222"/>
          <w:sz w:val="24"/>
          <w:szCs w:val="24"/>
        </w:rPr>
      </w:pPr>
      <w:r w:rsidDel="00000000" w:rsidR="00000000" w:rsidRPr="00000000">
        <w:rPr>
          <w:sz w:val="32"/>
          <w:szCs w:val="32"/>
          <w:rtl w:val="0"/>
        </w:rPr>
        <w:t xml:space="preserve">                                          </w:t>
      </w:r>
      <w:r w:rsidDel="00000000" w:rsidR="00000000" w:rsidRPr="00000000">
        <w:rPr>
          <w:b w:val="1"/>
          <w:color w:val="222222"/>
          <w:sz w:val="24"/>
          <w:szCs w:val="24"/>
          <w:rtl w:val="0"/>
        </w:rPr>
        <w:t xml:space="preserve">ACTIVITY REPORT</w:t>
      </w:r>
    </w:p>
    <w:p w:rsidR="00000000" w:rsidDel="00000000" w:rsidP="00000000" w:rsidRDefault="00000000" w:rsidRPr="00000000" w14:paraId="00000003">
      <w:pPr>
        <w:shd w:fill="ffffff" w:val="clear"/>
        <w:spacing w:line="240" w:lineRule="auto"/>
        <w:jc w:val="center"/>
        <w:rPr>
          <w:b w:val="1"/>
          <w:color w:val="222222"/>
          <w:sz w:val="24"/>
          <w:szCs w:val="24"/>
        </w:rPr>
      </w:pPr>
      <w:r w:rsidDel="00000000" w:rsidR="00000000" w:rsidRPr="00000000">
        <w:rPr>
          <w:b w:val="1"/>
          <w:color w:val="222222"/>
          <w:sz w:val="24"/>
          <w:szCs w:val="24"/>
          <w:rtl w:val="0"/>
        </w:rPr>
        <w:t xml:space="preserve">      On</w:t>
      </w:r>
    </w:p>
    <w:p w:rsidR="00000000" w:rsidDel="00000000" w:rsidP="00000000" w:rsidRDefault="00000000" w:rsidRPr="00000000" w14:paraId="00000004">
      <w:pPr>
        <w:jc w:val="both"/>
        <w:rPr>
          <w:b w:val="1"/>
          <w:sz w:val="24"/>
          <w:szCs w:val="24"/>
        </w:rPr>
      </w:pPr>
      <w:r w:rsidDel="00000000" w:rsidR="00000000" w:rsidRPr="00000000">
        <w:rPr>
          <w:sz w:val="32"/>
          <w:szCs w:val="32"/>
          <w:rtl w:val="0"/>
        </w:rPr>
        <w:t xml:space="preserve">                                   </w:t>
      </w:r>
      <w:r w:rsidDel="00000000" w:rsidR="00000000" w:rsidRPr="00000000">
        <w:rPr>
          <w:b w:val="1"/>
          <w:sz w:val="24"/>
          <w:szCs w:val="24"/>
          <w:rtl w:val="0"/>
        </w:rPr>
        <w:t xml:space="preserve">GRANDMASTER’S GAMBIT 2.0</w:t>
      </w:r>
    </w:p>
    <w:p w:rsidR="00000000" w:rsidDel="00000000" w:rsidP="00000000" w:rsidRDefault="00000000" w:rsidRPr="00000000" w14:paraId="00000005">
      <w:pPr>
        <w:numPr>
          <w:ilvl w:val="0"/>
          <w:numId w:val="1"/>
        </w:numPr>
        <w:shd w:fill="ffffff" w:val="clear"/>
        <w:spacing w:before="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Name of the Club:</w:t>
      </w:r>
      <w:r w:rsidDel="00000000" w:rsidR="00000000" w:rsidRPr="00000000">
        <w:rPr>
          <w:rFonts w:ascii="Verdana" w:cs="Verdana" w:eastAsia="Verdana" w:hAnsi="Verdana"/>
          <w:color w:val="222222"/>
          <w:sz w:val="20"/>
          <w:szCs w:val="20"/>
          <w:rtl w:val="0"/>
        </w:rPr>
        <w:t xml:space="preserve"> BMSCE ACM </w:t>
      </w:r>
      <w:r w:rsidDel="00000000" w:rsidR="00000000" w:rsidRPr="00000000">
        <w:rPr>
          <w:rFonts w:ascii="Verdana" w:cs="Verdana" w:eastAsia="Verdana" w:hAnsi="Verdana"/>
          <w:color w:val="222222"/>
          <w:sz w:val="20"/>
          <w:szCs w:val="20"/>
          <w:highlight w:val="white"/>
          <w:rtl w:val="0"/>
        </w:rPr>
        <w:t xml:space="preserve">STUDENT CHAPTER</w:t>
      </w:r>
      <w:r w:rsidDel="00000000" w:rsidR="00000000" w:rsidRPr="00000000">
        <w:rPr>
          <w:rtl w:val="0"/>
        </w:rPr>
      </w:r>
    </w:p>
    <w:p w:rsidR="00000000" w:rsidDel="00000000" w:rsidP="00000000" w:rsidRDefault="00000000" w:rsidRPr="00000000" w14:paraId="00000006">
      <w:pPr>
        <w:numPr>
          <w:ilvl w:val="0"/>
          <w:numId w:val="1"/>
        </w:numPr>
        <w:shd w:fill="ffffff" w:val="clear"/>
        <w:spacing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Name of the Activity:</w:t>
      </w:r>
      <w:r w:rsidDel="00000000" w:rsidR="00000000" w:rsidRPr="00000000">
        <w:rPr>
          <w:rFonts w:ascii="Verdana" w:cs="Verdana" w:eastAsia="Verdana" w:hAnsi="Verdana"/>
          <w:color w:val="222222"/>
          <w:sz w:val="20"/>
          <w:szCs w:val="20"/>
          <w:rtl w:val="0"/>
        </w:rPr>
        <w:t xml:space="preserve"> GRANDMASTER’S GAMBIT 2.0</w:t>
      </w:r>
    </w:p>
    <w:p w:rsidR="00000000" w:rsidDel="00000000" w:rsidP="00000000" w:rsidRDefault="00000000" w:rsidRPr="00000000" w14:paraId="00000007">
      <w:pPr>
        <w:numPr>
          <w:ilvl w:val="0"/>
          <w:numId w:val="1"/>
        </w:numPr>
        <w:shd w:fill="ffffff" w:val="clear"/>
        <w:spacing w:line="360" w:lineRule="auto"/>
        <w:ind w:left="945" w:hanging="360"/>
        <w:jc w:val="both"/>
        <w:rPr>
          <w:rFonts w:ascii="Verdana" w:cs="Verdana" w:eastAsia="Verdana" w:hAnsi="Verdana"/>
          <w:color w:val="222222"/>
          <w:sz w:val="20"/>
          <w:szCs w:val="20"/>
          <w:highlight w:val="white"/>
        </w:rPr>
      </w:pPr>
      <w:r w:rsidDel="00000000" w:rsidR="00000000" w:rsidRPr="00000000">
        <w:rPr>
          <w:rFonts w:ascii="Verdana" w:cs="Verdana" w:eastAsia="Verdana" w:hAnsi="Verdana"/>
          <w:b w:val="1"/>
          <w:color w:val="222222"/>
          <w:sz w:val="20"/>
          <w:szCs w:val="20"/>
          <w:rtl w:val="0"/>
        </w:rPr>
        <w:t xml:space="preserve">Objectives:</w:t>
      </w:r>
      <w:r w:rsidDel="00000000" w:rsidR="00000000" w:rsidRPr="00000000">
        <w:rPr>
          <w:rFonts w:ascii="Verdana" w:cs="Verdana" w:eastAsia="Verdana" w:hAnsi="Verdana"/>
          <w:color w:val="222222"/>
          <w:sz w:val="20"/>
          <w:szCs w:val="20"/>
          <w:rtl w:val="0"/>
        </w:rPr>
        <w:t xml:space="preserve"> The BMSCE ACM </w:t>
      </w:r>
      <w:r w:rsidDel="00000000" w:rsidR="00000000" w:rsidRPr="00000000">
        <w:rPr>
          <w:rFonts w:ascii="Verdana" w:cs="Verdana" w:eastAsia="Verdana" w:hAnsi="Verdana"/>
          <w:color w:val="222222"/>
          <w:sz w:val="20"/>
          <w:szCs w:val="20"/>
          <w:highlight w:val="white"/>
          <w:rtl w:val="0"/>
        </w:rPr>
        <w:t xml:space="preserve">Student Chapter organized</w:t>
      </w:r>
      <w:r w:rsidDel="00000000" w:rsidR="00000000" w:rsidRPr="00000000">
        <w:rPr>
          <w:rFonts w:ascii="Verdana" w:cs="Verdana" w:eastAsia="Verdana" w:hAnsi="Verdana"/>
          <w:color w:val="222222"/>
          <w:sz w:val="20"/>
          <w:szCs w:val="20"/>
          <w:rtl w:val="0"/>
        </w:rPr>
        <w:t xml:space="preserve"> competition focused on various chess variants. </w:t>
      </w:r>
    </w:p>
    <w:p w:rsidR="00000000" w:rsidDel="00000000" w:rsidP="00000000" w:rsidRDefault="00000000" w:rsidRPr="00000000" w14:paraId="00000008">
      <w:pPr>
        <w:numPr>
          <w:ilvl w:val="0"/>
          <w:numId w:val="1"/>
        </w:numPr>
        <w:shd w:fill="ffffff" w:val="clear"/>
        <w:spacing w:line="360" w:lineRule="auto"/>
        <w:ind w:left="945" w:hanging="360"/>
        <w:jc w:val="both"/>
        <w:rPr>
          <w:rFonts w:ascii="Verdana" w:cs="Verdana" w:eastAsia="Verdana" w:hAnsi="Verdana"/>
          <w:color w:val="222222"/>
          <w:sz w:val="20"/>
          <w:szCs w:val="20"/>
          <w:highlight w:val="white"/>
        </w:rPr>
      </w:pPr>
      <w:r w:rsidDel="00000000" w:rsidR="00000000" w:rsidRPr="00000000">
        <w:rPr>
          <w:rFonts w:ascii="Verdana" w:cs="Verdana" w:eastAsia="Verdana" w:hAnsi="Verdana"/>
          <w:b w:val="1"/>
          <w:color w:val="222222"/>
          <w:sz w:val="20"/>
          <w:szCs w:val="20"/>
          <w:rtl w:val="0"/>
        </w:rPr>
        <w:t xml:space="preserve">Date, Time Venue of the Activity:</w:t>
      </w:r>
      <w:r w:rsidDel="00000000" w:rsidR="00000000" w:rsidRPr="00000000">
        <w:rPr>
          <w:rtl w:val="0"/>
        </w:rPr>
      </w:r>
    </w:p>
    <w:tbl>
      <w:tblPr>
        <w:tblStyle w:val="Table1"/>
        <w:tblW w:w="8364.0" w:type="dxa"/>
        <w:jc w:val="left"/>
        <w:tblInd w:w="55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2"/>
        <w:gridCol w:w="6842"/>
        <w:tblGridChange w:id="0">
          <w:tblGrid>
            <w:gridCol w:w="1522"/>
            <w:gridCol w:w="6842"/>
          </w:tblGrid>
        </w:tblGridChange>
      </w:tblGrid>
      <w:tr>
        <w:trPr>
          <w:cantSplit w:val="0"/>
          <w:trHeight w:val="55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EVENT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A">
            <w:pPr>
              <w:shd w:fill="ffffff" w:val="clear"/>
              <w:spacing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GRANDMASTER’S GAMBIT 2.0</w:t>
            </w:r>
          </w:p>
        </w:tc>
      </w:tr>
      <w:tr>
        <w:trPr>
          <w:cantSplit w:val="0"/>
          <w:trHeight w:val="2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DATE/DAY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Friday, 17th May 2024</w:t>
            </w:r>
          </w:p>
        </w:tc>
      </w:tr>
      <w:tr>
        <w:trPr>
          <w:cantSplit w:val="0"/>
          <w:trHeight w:val="1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VENUE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AIML Lab 1</w:t>
            </w:r>
          </w:p>
        </w:tc>
      </w:tr>
    </w:tbl>
    <w:p w:rsidR="00000000" w:rsidDel="00000000" w:rsidP="00000000" w:rsidRDefault="00000000" w:rsidRPr="00000000" w14:paraId="0000000F">
      <w:pPr>
        <w:numPr>
          <w:ilvl w:val="0"/>
          <w:numId w:val="1"/>
        </w:numPr>
        <w:shd w:fill="ffffff" w:val="clear"/>
        <w:spacing w:before="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Name and details of collaborating agency (if it is collaborative/joint activity):</w:t>
      </w:r>
      <w:r w:rsidDel="00000000" w:rsidR="00000000" w:rsidRPr="00000000">
        <w:rPr>
          <w:rFonts w:ascii="Verdana" w:cs="Verdana" w:eastAsia="Verdana" w:hAnsi="Verdana"/>
          <w:color w:val="222222"/>
          <w:sz w:val="20"/>
          <w:szCs w:val="20"/>
          <w:rtl w:val="0"/>
        </w:rPr>
        <w:t xml:space="preserve"> </w:t>
        <w:tab/>
        <w:t xml:space="preserve">Videsh Educon</w:t>
      </w:r>
    </w:p>
    <w:p w:rsidR="00000000" w:rsidDel="00000000" w:rsidP="00000000" w:rsidRDefault="00000000" w:rsidRPr="00000000" w14:paraId="00000010">
      <w:pPr>
        <w:numPr>
          <w:ilvl w:val="0"/>
          <w:numId w:val="1"/>
        </w:numPr>
        <w:shd w:fill="ffffff" w:val="clear"/>
        <w:spacing w:before="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Brief summary of the Programme: </w:t>
      </w:r>
      <w:r w:rsidDel="00000000" w:rsidR="00000000" w:rsidRPr="00000000">
        <w:rPr>
          <w:rFonts w:ascii="Verdana" w:cs="Verdana" w:eastAsia="Verdana" w:hAnsi="Verdana"/>
          <w:sz w:val="20"/>
          <w:szCs w:val="20"/>
          <w:rtl w:val="0"/>
        </w:rPr>
        <w:t xml:space="preserve">Certainly! </w:t>
      </w:r>
      <w:r w:rsidDel="00000000" w:rsidR="00000000" w:rsidRPr="00000000">
        <w:rPr>
          <w:rFonts w:ascii="Verdana" w:cs="Verdana" w:eastAsia="Verdana" w:hAnsi="Verdana"/>
          <w:color w:val="222222"/>
          <w:sz w:val="20"/>
          <w:szCs w:val="20"/>
          <w:highlight w:val="white"/>
          <w:rtl w:val="0"/>
        </w:rPr>
        <w:t xml:space="preserve">Here’s a comprehensive</w:t>
      </w:r>
      <w:r w:rsidDel="00000000" w:rsidR="00000000" w:rsidRPr="00000000">
        <w:rPr>
          <w:rFonts w:ascii="Verdana" w:cs="Verdana" w:eastAsia="Verdana" w:hAnsi="Verdana"/>
          <w:sz w:val="20"/>
          <w:szCs w:val="20"/>
          <w:rtl w:val="0"/>
        </w:rPr>
        <w:t xml:space="preserve"> overview of the chess competition: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1210" w:right="0" w:hanging="360"/>
        <w:jc w:val="both"/>
        <w:rPr/>
      </w:pPr>
      <w:r w:rsidDel="00000000" w:rsidR="00000000" w:rsidRPr="00000000">
        <w:rPr>
          <w:rFonts w:ascii="Verdana" w:cs="Verdana" w:eastAsia="Verdana" w:hAnsi="Verdana"/>
          <w:b w:val="1"/>
          <w:i w:val="0"/>
          <w:smallCaps w:val="0"/>
          <w:strike w:val="0"/>
          <w:color w:val="222222"/>
          <w:sz w:val="20"/>
          <w:szCs w:val="20"/>
          <w:u w:val="none"/>
          <w:shd w:fill="auto" w:val="clear"/>
          <w:vertAlign w:val="baseline"/>
          <w:rtl w:val="0"/>
        </w:rPr>
        <w:t xml:space="preserve">Event Setup and Rounds:</w:t>
      </w:r>
      <w:r w:rsidDel="00000000" w:rsidR="00000000" w:rsidRPr="00000000">
        <w:rPr>
          <w:rFonts w:ascii="Verdana" w:cs="Verdana" w:eastAsia="Verdana" w:hAnsi="Verdana"/>
          <w:b w:val="0"/>
          <w:i w:val="0"/>
          <w:smallCaps w:val="0"/>
          <w:strike w:val="0"/>
          <w:color w:val="222222"/>
          <w:sz w:val="20"/>
          <w:szCs w:val="20"/>
          <w:u w:val="none"/>
          <w:shd w:fill="auto" w:val="clear"/>
          <w:vertAlign w:val="baseline"/>
          <w:rtl w:val="0"/>
        </w:rPr>
        <w:t xml:space="preserve"> The event unfolded from </w:t>
      </w:r>
      <w:r w:rsidDel="00000000" w:rsidR="00000000" w:rsidRPr="00000000">
        <w:rPr>
          <w:rFonts w:ascii="Verdana" w:cs="Verdana" w:eastAsia="Verdana" w:hAnsi="Verdana"/>
          <w:b w:val="1"/>
          <w:i w:val="0"/>
          <w:smallCaps w:val="0"/>
          <w:strike w:val="0"/>
          <w:color w:val="222222"/>
          <w:sz w:val="20"/>
          <w:szCs w:val="20"/>
          <w:u w:val="none"/>
          <w:shd w:fill="auto" w:val="clear"/>
          <w:vertAlign w:val="baseline"/>
          <w:rtl w:val="0"/>
        </w:rPr>
        <w:t xml:space="preserve">9:00 AM to 3:30 PM</w:t>
      </w:r>
      <w:r w:rsidDel="00000000" w:rsidR="00000000" w:rsidRPr="00000000">
        <w:rPr>
          <w:rFonts w:ascii="Verdana" w:cs="Verdana" w:eastAsia="Verdana" w:hAnsi="Verdana"/>
          <w:b w:val="0"/>
          <w:i w:val="0"/>
          <w:smallCaps w:val="0"/>
          <w:strike w:val="0"/>
          <w:color w:val="222222"/>
          <w:sz w:val="20"/>
          <w:szCs w:val="20"/>
          <w:u w:val="none"/>
          <w:shd w:fill="auto" w:val="clear"/>
          <w:vertAlign w:val="baseline"/>
          <w:rtl w:val="0"/>
        </w:rPr>
        <w:t xml:space="preserve">, providing participants with a full day of intense matches, strategic maneuvers, and memorable moments. The initial rounds featured six pool, each accommodating four to five teams. Teams engaged in 4-player chess variants, including 4P, Chaturaji, and 4P Giveaway. The top two teams from each pool secured their spots for the next round. Round 2 introduced intriguing 2-player variations, such as the enigmatic “fog of war,” where opponents’ pieces remained hidden. Participants also explored other chess variants like Atomic, Giveaway, and Crazy House.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1210" w:right="0" w:hanging="360"/>
        <w:jc w:val="both"/>
        <w:rPr/>
      </w:pPr>
      <w:r w:rsidDel="00000000" w:rsidR="00000000" w:rsidRPr="00000000">
        <w:rPr>
          <w:rFonts w:ascii="Verdana" w:cs="Verdana" w:eastAsia="Verdana" w:hAnsi="Verdana"/>
          <w:b w:val="1"/>
          <w:i w:val="0"/>
          <w:smallCaps w:val="0"/>
          <w:strike w:val="0"/>
          <w:color w:val="222222"/>
          <w:sz w:val="20"/>
          <w:szCs w:val="20"/>
          <w:u w:val="none"/>
          <w:shd w:fill="auto" w:val="clear"/>
          <w:vertAlign w:val="baseline"/>
          <w:rtl w:val="0"/>
        </w:rPr>
        <w:t xml:space="preserve">Semifinals and Unique Variations:</w:t>
      </w:r>
      <w:r w:rsidDel="00000000" w:rsidR="00000000" w:rsidRPr="00000000">
        <w:rPr>
          <w:rFonts w:ascii="Verdana" w:cs="Verdana" w:eastAsia="Verdana" w:hAnsi="Verdana"/>
          <w:b w:val="0"/>
          <w:i w:val="0"/>
          <w:smallCaps w:val="0"/>
          <w:strike w:val="0"/>
          <w:color w:val="222222"/>
          <w:sz w:val="20"/>
          <w:szCs w:val="20"/>
          <w:u w:val="none"/>
          <w:shd w:fill="auto" w:val="clear"/>
          <w:vertAlign w:val="baseline"/>
          <w:rtl w:val="0"/>
        </w:rPr>
        <w:t xml:space="preserve"> The </w:t>
      </w:r>
      <w:r w:rsidDel="00000000" w:rsidR="00000000" w:rsidRPr="00000000">
        <w:rPr>
          <w:rFonts w:ascii="Verdana" w:cs="Verdana" w:eastAsia="Verdana" w:hAnsi="Verdana"/>
          <w:color w:val="222222"/>
          <w:sz w:val="20"/>
          <w:szCs w:val="20"/>
          <w:rtl w:val="0"/>
        </w:rPr>
        <w:t xml:space="preserve">semi finals</w:t>
      </w:r>
      <w:r w:rsidDel="00000000" w:rsidR="00000000" w:rsidRPr="00000000">
        <w:rPr>
          <w:rFonts w:ascii="Verdana" w:cs="Verdana" w:eastAsia="Verdana" w:hAnsi="Verdana"/>
          <w:b w:val="0"/>
          <w:i w:val="0"/>
          <w:smallCaps w:val="0"/>
          <w:strike w:val="0"/>
          <w:color w:val="222222"/>
          <w:sz w:val="20"/>
          <w:szCs w:val="20"/>
          <w:u w:val="none"/>
          <w:shd w:fill="auto" w:val="clear"/>
          <w:vertAlign w:val="baseline"/>
          <w:rtl w:val="0"/>
        </w:rPr>
        <w:t xml:space="preserve"> were a pivotal stage in the competition. The top team from each pool faced off in a round-robin format, engaging in intense one-on-one matches. What made this round particularly captivating were the unique variations introduced:</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pPr>
      <w:r w:rsidDel="00000000" w:rsidR="00000000" w:rsidRPr="00000000">
        <w:rPr>
          <w:rFonts w:ascii="Verdana" w:cs="Verdana" w:eastAsia="Verdana" w:hAnsi="Verdana"/>
          <w:b w:val="1"/>
          <w:i w:val="0"/>
          <w:smallCaps w:val="0"/>
          <w:strike w:val="0"/>
          <w:color w:val="222222"/>
          <w:sz w:val="20"/>
          <w:szCs w:val="20"/>
          <w:u w:val="none"/>
          <w:shd w:fill="auto" w:val="clear"/>
          <w:vertAlign w:val="baseline"/>
          <w:rtl w:val="0"/>
        </w:rPr>
        <w:t xml:space="preserve">XXL Variant:</w:t>
      </w:r>
      <w:r w:rsidDel="00000000" w:rsidR="00000000" w:rsidRPr="00000000">
        <w:rPr>
          <w:rFonts w:ascii="Verdana" w:cs="Verdana" w:eastAsia="Verdana" w:hAnsi="Verdana"/>
          <w:b w:val="0"/>
          <w:i w:val="0"/>
          <w:smallCaps w:val="0"/>
          <w:strike w:val="0"/>
          <w:color w:val="222222"/>
          <w:sz w:val="20"/>
          <w:szCs w:val="20"/>
          <w:u w:val="none"/>
          <w:shd w:fill="auto" w:val="clear"/>
          <w:vertAlign w:val="baseline"/>
          <w:rtl w:val="0"/>
        </w:rPr>
        <w:t xml:space="preserve"> In one match, players grappled with the XXL variant. This variation expanded the chessboard, adding extra ranks and files. The increased complexity forced participants to reevaluate their opening strategies, piece coordination, and endgame tactics.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pPr>
      <w:r w:rsidDel="00000000" w:rsidR="00000000" w:rsidRPr="00000000">
        <w:rPr>
          <w:rFonts w:ascii="Verdana" w:cs="Verdana" w:eastAsia="Verdana" w:hAnsi="Verdana"/>
          <w:b w:val="1"/>
          <w:i w:val="0"/>
          <w:smallCaps w:val="0"/>
          <w:strike w:val="0"/>
          <w:color w:val="222222"/>
          <w:sz w:val="20"/>
          <w:szCs w:val="20"/>
          <w:u w:val="none"/>
          <w:shd w:fill="auto" w:val="clear"/>
          <w:vertAlign w:val="baseline"/>
          <w:rtl w:val="0"/>
        </w:rPr>
        <w:t xml:space="preserve">Bughouse Battles:</w:t>
      </w:r>
      <w:r w:rsidDel="00000000" w:rsidR="00000000" w:rsidRPr="00000000">
        <w:rPr>
          <w:rFonts w:ascii="Verdana" w:cs="Verdana" w:eastAsia="Verdana" w:hAnsi="Verdana"/>
          <w:b w:val="0"/>
          <w:i w:val="0"/>
          <w:smallCaps w:val="0"/>
          <w:strike w:val="0"/>
          <w:color w:val="222222"/>
          <w:sz w:val="20"/>
          <w:szCs w:val="20"/>
          <w:u w:val="none"/>
          <w:shd w:fill="auto" w:val="clear"/>
          <w:vertAlign w:val="baseline"/>
          <w:rtl w:val="0"/>
        </w:rPr>
        <w:t xml:space="preserve"> Another thrilling variation was Bughouse, where teams played simultaneously on two adjacent boards. Captured pieces from one board could be “passed” to a teammate on the other board, who could then place them back into play. The dynamic exchanges and rapid decision-making kept spectators on the edge of their seats.</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pPr>
      <w:r w:rsidDel="00000000" w:rsidR="00000000" w:rsidRPr="00000000">
        <w:rPr>
          <w:rFonts w:ascii="Verdana" w:cs="Verdana" w:eastAsia="Verdana" w:hAnsi="Verdana"/>
          <w:b w:val="1"/>
          <w:i w:val="0"/>
          <w:smallCaps w:val="0"/>
          <w:strike w:val="0"/>
          <w:color w:val="222222"/>
          <w:sz w:val="20"/>
          <w:szCs w:val="20"/>
          <w:u w:val="none"/>
          <w:shd w:fill="auto" w:val="clear"/>
          <w:vertAlign w:val="baseline"/>
          <w:rtl w:val="0"/>
        </w:rPr>
        <w:t xml:space="preserve">Tie-Breaker Showdown:</w:t>
      </w:r>
      <w:r w:rsidDel="00000000" w:rsidR="00000000" w:rsidRPr="00000000">
        <w:rPr>
          <w:rFonts w:ascii="Verdana" w:cs="Verdana" w:eastAsia="Verdana" w:hAnsi="Verdana"/>
          <w:b w:val="0"/>
          <w:i w:val="0"/>
          <w:smallCaps w:val="0"/>
          <w:strike w:val="0"/>
          <w:color w:val="222222"/>
          <w:sz w:val="20"/>
          <w:szCs w:val="20"/>
          <w:u w:val="none"/>
          <w:shd w:fill="auto" w:val="clear"/>
          <w:vertAlign w:val="baseline"/>
          <w:rtl w:val="0"/>
        </w:rPr>
        <w:t xml:space="preserve"> But what truly stole the spotlight was the tie-breaker match. When two teams had equal points, they faced off in a sudden-death 1v1 game. The chessboard became an arena of nerves and determination. Every move was scrutinized, and the stakes were sky-high.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pPr>
      <w:r w:rsidDel="00000000" w:rsidR="00000000" w:rsidRPr="00000000">
        <w:rPr>
          <w:rFonts w:ascii="Verdana" w:cs="Verdana" w:eastAsia="Verdana" w:hAnsi="Verdana"/>
          <w:b w:val="1"/>
          <w:i w:val="0"/>
          <w:smallCaps w:val="0"/>
          <w:strike w:val="0"/>
          <w:color w:val="222222"/>
          <w:sz w:val="20"/>
          <w:szCs w:val="20"/>
          <w:u w:val="none"/>
          <w:shd w:fill="auto" w:val="clear"/>
          <w:vertAlign w:val="baseline"/>
          <w:rtl w:val="0"/>
        </w:rPr>
        <w:t xml:space="preserve">Thrilling Finals and Memorable Experience:</w:t>
      </w:r>
      <w:r w:rsidDel="00000000" w:rsidR="00000000" w:rsidRPr="00000000">
        <w:rPr>
          <w:rFonts w:ascii="Verdana" w:cs="Verdana" w:eastAsia="Verdana" w:hAnsi="Verdana"/>
          <w:b w:val="0"/>
          <w:i w:val="0"/>
          <w:smallCaps w:val="0"/>
          <w:strike w:val="0"/>
          <w:color w:val="222222"/>
          <w:sz w:val="20"/>
          <w:szCs w:val="20"/>
          <w:u w:val="none"/>
          <w:shd w:fill="auto" w:val="clear"/>
          <w:vertAlign w:val="baseline"/>
          <w:rtl w:val="0"/>
        </w:rPr>
        <w:t xml:space="preserve"> The two finalist teams engaged in a standard 4-player game, showcasing their mastery of traditional chess. In the end, one team emerged victorious, claiming the top prize of ₹2500. The runners-up received ₹1500 for their impressive performance. Beyond the competition, the event fostered connections among participants, creating lasting memories and reinforcing the love for chess.</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80" w:before="0" w:line="360" w:lineRule="auto"/>
        <w:ind w:left="643" w:right="0" w:hanging="360"/>
        <w:jc w:val="both"/>
        <w:rPr>
          <w:rFonts w:ascii="Roboto" w:cs="Roboto" w:eastAsia="Roboto" w:hAnsi="Roboto"/>
          <w:i w:val="0"/>
          <w:smallCaps w:val="0"/>
          <w:strike w:val="0"/>
          <w:color w:val="222222"/>
          <w:sz w:val="24"/>
          <w:szCs w:val="24"/>
          <w:u w:val="none"/>
          <w:shd w:fill="auto" w:val="clear"/>
          <w:vertAlign w:val="baseline"/>
        </w:rPr>
      </w:pPr>
      <w:r w:rsidDel="00000000" w:rsidR="00000000" w:rsidRPr="00000000">
        <w:rPr>
          <w:rFonts w:ascii="Verdana" w:cs="Verdana" w:eastAsia="Verdana" w:hAnsi="Verdana"/>
          <w:b w:val="1"/>
          <w:i w:val="0"/>
          <w:smallCaps w:val="0"/>
          <w:strike w:val="0"/>
          <w:color w:val="222222"/>
          <w:sz w:val="20"/>
          <w:szCs w:val="20"/>
          <w:u w:val="none"/>
          <w:shd w:fill="auto" w:val="clear"/>
          <w:vertAlign w:val="baseline"/>
          <w:rtl w:val="0"/>
        </w:rPr>
        <w:t xml:space="preserve">Outcomes: </w:t>
      </w:r>
      <w:r w:rsidDel="00000000" w:rsidR="00000000" w:rsidRPr="00000000">
        <w:rPr>
          <w:rFonts w:ascii="Verdana" w:cs="Verdana" w:eastAsia="Verdana" w:hAnsi="Verdana"/>
          <w:b w:val="0"/>
          <w:i w:val="0"/>
          <w:smallCaps w:val="0"/>
          <w:strike w:val="0"/>
          <w:color w:val="222222"/>
          <w:sz w:val="20"/>
          <w:szCs w:val="20"/>
          <w:highlight w:val="white"/>
          <w:u w:val="none"/>
          <w:vertAlign w:val="baseline"/>
          <w:rtl w:val="0"/>
        </w:rPr>
        <w:t xml:space="preserve">The Grandmaster’s Gambit 2.0 chess competition culminated in a display of strategic prowess and sportsmanship. Participants left with valuable experiences, and the event reinforced the enduring appeal of the game.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643" w:right="0" w:hanging="360"/>
        <w:jc w:val="both"/>
        <w:rPr>
          <w:rFonts w:ascii="Verdana" w:cs="Verdana" w:eastAsia="Verdana" w:hAnsi="Verdana"/>
          <w:i w:val="0"/>
          <w:smallCaps w:val="0"/>
          <w:strike w:val="0"/>
          <w:color w:val="222222"/>
          <w:sz w:val="20"/>
          <w:szCs w:val="20"/>
          <w:u w:val="none"/>
          <w:shd w:fill="auto" w:val="clear"/>
          <w:vertAlign w:val="baseline"/>
        </w:rPr>
      </w:pPr>
      <w:r w:rsidDel="00000000" w:rsidR="00000000" w:rsidRPr="00000000">
        <w:rPr>
          <w:rFonts w:ascii="Verdana" w:cs="Verdana" w:eastAsia="Verdana" w:hAnsi="Verdana"/>
          <w:b w:val="1"/>
          <w:i w:val="0"/>
          <w:smallCaps w:val="0"/>
          <w:strike w:val="0"/>
          <w:color w:val="222222"/>
          <w:sz w:val="20"/>
          <w:szCs w:val="20"/>
          <w:u w:val="none"/>
          <w:shd w:fill="auto" w:val="clear"/>
          <w:vertAlign w:val="baseline"/>
          <w:rtl w:val="0"/>
        </w:rPr>
        <w:t xml:space="preserve">Number of participants: </w:t>
      </w:r>
      <w:r w:rsidDel="00000000" w:rsidR="00000000" w:rsidRPr="00000000">
        <w:rPr>
          <w:rtl w:val="0"/>
        </w:rPr>
      </w:r>
    </w:p>
    <w:tbl>
      <w:tblPr>
        <w:tblStyle w:val="Table2"/>
        <w:tblW w:w="87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6"/>
        <w:gridCol w:w="2151"/>
        <w:gridCol w:w="2290"/>
        <w:gridCol w:w="2244"/>
        <w:tblGridChange w:id="0">
          <w:tblGrid>
            <w:gridCol w:w="2066"/>
            <w:gridCol w:w="2151"/>
            <w:gridCol w:w="2290"/>
            <w:gridCol w:w="2244"/>
          </w:tblGrid>
        </w:tblGridChange>
      </w:tblGrid>
      <w:tr>
        <w:trPr>
          <w:cantSplit w:val="0"/>
          <w:trHeight w:val="486" w:hRule="atLeast"/>
          <w:tblHeader w:val="0"/>
        </w:trPr>
        <w:tc>
          <w:tcPr/>
          <w:p w:rsidR="00000000" w:rsidDel="00000000" w:rsidP="00000000" w:rsidRDefault="00000000" w:rsidRPr="00000000" w14:paraId="0000001A">
            <w:pPr>
              <w:jc w:val="center"/>
              <w:rPr>
                <w:rFonts w:ascii="Helvetica Neue" w:cs="Helvetica Neue" w:eastAsia="Helvetica Neue" w:hAnsi="Helvetica Neue"/>
                <w:sz w:val="20"/>
                <w:szCs w:val="20"/>
              </w:rPr>
            </w:pPr>
            <w:r w:rsidDel="00000000" w:rsidR="00000000" w:rsidRPr="00000000">
              <w:rPr>
                <w:rFonts w:ascii="Verdana" w:cs="Verdana" w:eastAsia="Verdana" w:hAnsi="Verdana"/>
                <w:sz w:val="20"/>
                <w:szCs w:val="20"/>
                <w:rtl w:val="0"/>
              </w:rPr>
              <w:t xml:space="preserve">Number of Faculty</w:t>
            </w:r>
            <w:r w:rsidDel="00000000" w:rsidR="00000000" w:rsidRPr="00000000">
              <w:rPr>
                <w:rtl w:val="0"/>
              </w:rPr>
            </w:r>
          </w:p>
          <w:p w:rsidR="00000000" w:rsidDel="00000000" w:rsidP="00000000" w:rsidRDefault="00000000" w:rsidRPr="00000000" w14:paraId="0000001B">
            <w:pPr>
              <w:jc w:val="center"/>
              <w:rPr>
                <w:rFonts w:ascii="Verdana" w:cs="Verdana" w:eastAsia="Verdana" w:hAnsi="Verdana"/>
                <w:color w:val="222222"/>
                <w:sz w:val="20"/>
                <w:szCs w:val="20"/>
              </w:rPr>
            </w:pPr>
            <w:r w:rsidDel="00000000" w:rsidR="00000000" w:rsidRPr="00000000">
              <w:rPr>
                <w:rtl w:val="0"/>
              </w:rPr>
            </w:r>
          </w:p>
        </w:tc>
        <w:tc>
          <w:tcPr/>
          <w:p w:rsidR="00000000" w:rsidDel="00000000" w:rsidP="00000000" w:rsidRDefault="00000000" w:rsidRPr="00000000" w14:paraId="0000001C">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Number of</w:t>
            </w:r>
          </w:p>
          <w:p w:rsidR="00000000" w:rsidDel="00000000" w:rsidP="00000000" w:rsidRDefault="00000000" w:rsidRPr="00000000" w14:paraId="0000001D">
            <w:pPr>
              <w:jc w:val="center"/>
              <w:rPr>
                <w:rFonts w:ascii="Verdana" w:cs="Verdana" w:eastAsia="Verdana" w:hAnsi="Verdana"/>
                <w:color w:val="222222"/>
                <w:sz w:val="20"/>
                <w:szCs w:val="20"/>
              </w:rPr>
            </w:pPr>
            <w:r w:rsidDel="00000000" w:rsidR="00000000" w:rsidRPr="00000000">
              <w:rPr>
                <w:rFonts w:ascii="Verdana" w:cs="Verdana" w:eastAsia="Verdana" w:hAnsi="Verdana"/>
                <w:sz w:val="20"/>
                <w:szCs w:val="20"/>
                <w:rtl w:val="0"/>
              </w:rPr>
              <w:t xml:space="preserve">Non-Teaching Staff</w:t>
            </w:r>
            <w:r w:rsidDel="00000000" w:rsidR="00000000" w:rsidRPr="00000000">
              <w:rPr>
                <w:rtl w:val="0"/>
              </w:rPr>
            </w:r>
          </w:p>
        </w:tc>
        <w:tc>
          <w:tcPr/>
          <w:p w:rsidR="00000000" w:rsidDel="00000000" w:rsidP="00000000" w:rsidRDefault="00000000" w:rsidRPr="00000000" w14:paraId="0000001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Number of</w:t>
            </w:r>
          </w:p>
          <w:p w:rsidR="00000000" w:rsidDel="00000000" w:rsidP="00000000" w:rsidRDefault="00000000" w:rsidRPr="00000000" w14:paraId="0000001F">
            <w:pPr>
              <w:jc w:val="center"/>
              <w:rPr>
                <w:rFonts w:ascii="Verdana" w:cs="Verdana" w:eastAsia="Verdana" w:hAnsi="Verdana"/>
                <w:color w:val="222222"/>
                <w:sz w:val="20"/>
                <w:szCs w:val="20"/>
              </w:rPr>
            </w:pPr>
            <w:r w:rsidDel="00000000" w:rsidR="00000000" w:rsidRPr="00000000">
              <w:rPr>
                <w:rFonts w:ascii="Verdana" w:cs="Verdana" w:eastAsia="Verdana" w:hAnsi="Verdana"/>
                <w:sz w:val="20"/>
                <w:szCs w:val="20"/>
                <w:rtl w:val="0"/>
              </w:rPr>
              <w:t xml:space="preserve">External Participants</w:t>
            </w:r>
            <w:r w:rsidDel="00000000" w:rsidR="00000000" w:rsidRPr="00000000">
              <w:rPr>
                <w:rtl w:val="0"/>
              </w:rPr>
            </w:r>
          </w:p>
        </w:tc>
        <w:tc>
          <w:tcPr/>
          <w:p w:rsidR="00000000" w:rsidDel="00000000" w:rsidP="00000000" w:rsidRDefault="00000000" w:rsidRPr="00000000" w14:paraId="00000020">
            <w:pPr>
              <w:jc w:val="center"/>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Number of Students</w:t>
            </w:r>
          </w:p>
        </w:tc>
      </w:tr>
      <w:tr>
        <w:trPr>
          <w:cantSplit w:val="0"/>
          <w:trHeight w:val="486" w:hRule="atLeast"/>
          <w:tblHeader w:val="0"/>
        </w:trPr>
        <w:tc>
          <w:tcPr/>
          <w:p w:rsidR="00000000" w:rsidDel="00000000" w:rsidP="00000000" w:rsidRDefault="00000000" w:rsidRPr="00000000" w14:paraId="00000021">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0</w:t>
            </w:r>
          </w:p>
        </w:tc>
        <w:tc>
          <w:tcPr/>
          <w:p w:rsidR="00000000" w:rsidDel="00000000" w:rsidP="00000000" w:rsidRDefault="00000000" w:rsidRPr="00000000" w14:paraId="00000022">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0</w:t>
            </w:r>
          </w:p>
        </w:tc>
        <w:tc>
          <w:tcPr/>
          <w:p w:rsidR="00000000" w:rsidDel="00000000" w:rsidP="00000000" w:rsidRDefault="00000000" w:rsidRPr="00000000" w14:paraId="00000023">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2</w:t>
            </w:r>
          </w:p>
        </w:tc>
        <w:tc>
          <w:tcPr/>
          <w:p w:rsidR="00000000" w:rsidDel="00000000" w:rsidP="00000000" w:rsidRDefault="00000000" w:rsidRPr="00000000" w14:paraId="00000024">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50</w:t>
            </w:r>
          </w:p>
        </w:tc>
      </w:tr>
    </w:tbl>
    <w:p w:rsidR="00000000" w:rsidDel="00000000" w:rsidP="00000000" w:rsidRDefault="00000000" w:rsidRPr="00000000" w14:paraId="00000025">
      <w:pPr>
        <w:shd w:fill="ffffff" w:val="clear"/>
        <w:spacing w:line="240" w:lineRule="auto"/>
        <w:ind w:left="0"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6">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sz w:val="32"/>
          <w:szCs w:val="32"/>
        </w:rPr>
      </w:pPr>
      <w:r w:rsidDel="00000000" w:rsidR="00000000" w:rsidRPr="00000000">
        <w:rPr>
          <w:rFonts w:ascii="Verdana" w:cs="Verdana" w:eastAsia="Verdana" w:hAnsi="Verdana"/>
          <w:b w:val="1"/>
          <w:i w:val="0"/>
          <w:smallCaps w:val="0"/>
          <w:strike w:val="0"/>
          <w:color w:val="222222"/>
          <w:sz w:val="20"/>
          <w:szCs w:val="20"/>
          <w:u w:val="none"/>
          <w:shd w:fill="auto" w:val="clear"/>
          <w:vertAlign w:val="baseline"/>
          <w:rtl w:val="0"/>
        </w:rPr>
        <w:t xml:space="preserve">Two or three relevant Photographs of the activity: (Geo-tagged photos are preferable)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1438275</wp:posOffset>
            </wp:positionH>
            <wp:positionV relativeFrom="paragraph">
              <wp:posOffset>400050</wp:posOffset>
            </wp:positionV>
            <wp:extent cx="2909888" cy="2187255"/>
            <wp:effectExtent b="0" l="0" r="0" t="0"/>
            <wp:wrapTopAndBottom distB="0" distT="0"/>
            <wp:docPr id="4"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909888" cy="2187255"/>
                    </a:xfrm>
                    <a:prstGeom prst="rect"/>
                    <a:ln/>
                  </pic:spPr>
                </pic:pic>
              </a:graphicData>
            </a:graphic>
          </wp:anchor>
        </w:draw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3" w:hanging="360"/>
      </w:pPr>
      <w:rPr>
        <w:b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lowerRoman"/>
      <w:lvlText w:val="%1."/>
      <w:lvlJc w:val="right"/>
      <w:pPr>
        <w:ind w:left="1210" w:hanging="360"/>
      </w:pPr>
      <w:rPr/>
    </w:lvl>
    <w:lvl w:ilvl="1">
      <w:start w:val="1"/>
      <w:numFmt w:val="bullet"/>
      <w:lvlText w:val="o"/>
      <w:lvlJc w:val="left"/>
      <w:pPr>
        <w:ind w:left="3053" w:hanging="360"/>
      </w:pPr>
      <w:rPr>
        <w:rFonts w:ascii="Courier New" w:cs="Courier New" w:eastAsia="Courier New" w:hAnsi="Courier New"/>
      </w:rPr>
    </w:lvl>
    <w:lvl w:ilvl="2">
      <w:start w:val="1"/>
      <w:numFmt w:val="lowerRoman"/>
      <w:lvlText w:val="%3."/>
      <w:lvlJc w:val="right"/>
      <w:pPr>
        <w:ind w:left="3926" w:hanging="180"/>
      </w:pPr>
      <w:rPr/>
    </w:lvl>
    <w:lvl w:ilvl="3">
      <w:start w:val="1"/>
      <w:numFmt w:val="decimal"/>
      <w:lvlText w:val="%4."/>
      <w:lvlJc w:val="left"/>
      <w:pPr>
        <w:ind w:left="4646" w:hanging="360"/>
      </w:pPr>
      <w:rPr/>
    </w:lvl>
    <w:lvl w:ilvl="4">
      <w:start w:val="1"/>
      <w:numFmt w:val="lowerLetter"/>
      <w:lvlText w:val="%5."/>
      <w:lvlJc w:val="left"/>
      <w:pPr>
        <w:ind w:left="5366" w:hanging="360"/>
      </w:pPr>
      <w:rPr/>
    </w:lvl>
    <w:lvl w:ilvl="5">
      <w:start w:val="1"/>
      <w:numFmt w:val="lowerRoman"/>
      <w:lvlText w:val="%6."/>
      <w:lvlJc w:val="right"/>
      <w:pPr>
        <w:ind w:left="6086" w:hanging="180"/>
      </w:pPr>
      <w:rPr/>
    </w:lvl>
    <w:lvl w:ilvl="6">
      <w:start w:val="1"/>
      <w:numFmt w:val="decimal"/>
      <w:lvlText w:val="%7."/>
      <w:lvlJc w:val="left"/>
      <w:pPr>
        <w:ind w:left="6806" w:hanging="360"/>
      </w:pPr>
      <w:rPr/>
    </w:lvl>
    <w:lvl w:ilvl="7">
      <w:start w:val="1"/>
      <w:numFmt w:val="lowerLetter"/>
      <w:lvlText w:val="%8."/>
      <w:lvlJc w:val="left"/>
      <w:pPr>
        <w:ind w:left="7526" w:hanging="360"/>
      </w:pPr>
      <w:rPr/>
    </w:lvl>
    <w:lvl w:ilvl="8">
      <w:start w:val="1"/>
      <w:numFmt w:val="lowerRoman"/>
      <w:lvlText w:val="%9."/>
      <w:lvlJc w:val="right"/>
      <w:pPr>
        <w:ind w:left="8246"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r9KamQM0W9TnJOKa3LP8noW7VA==">CgMxLjA4AHIhMWx6RUdPNWZwWmhVdHptTDZfZGtYWU84TGotMUpBS25L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