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Default Extension="txt" ContentType="text/plain"/>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Stock Forecasting Model</w:t>
        <w:br/>
        <w:t>Retraining Results</w:t>
      </w:r>
    </w:p>
    <w:p>
      <w:pPr>
        <w:pStyle w:val="Subtitle"/>
      </w:pPr>
      <w:r>
        <w:t>Current company lists with historical tests from 2022 to 2025</w:t>
      </w:r>
    </w:p>
    <w:p>
      <w:r>
        <w:t>We completed 648 model training runs using the current NASDAQ-100 and the 100 largest NYSE-listed companies. A model learns patterns from earlier prices to rank stocks by expected returns. Coverage improved substantially. None of the 4 main tests established a Sharpe advantage after trading costs over SPY and the relevant cohort benchmark (passive NYSE basket or QQQ), within the estimated uncertainty ranges. All declared models are reported below.</w:t>
      </w:r>
    </w:p>
    <w:p>
      <w:r>
        <w:t>These results describe a retrospective study of today’s large companies. Selecting companies using their 2026 size or membership gives us information that would not have been available in 2022. Better coverage makes the sample easier to explain, but does not remove that bias.</w:t>
      </w:r>
    </w:p>
    <w:p>
      <w:pPr>
        <w:pStyle w:val="Heading1"/>
      </w:pPr>
      <w:r>
        <w:t>Company coverage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728"/>
        <w:gridCol w:w="1656"/>
        <w:gridCol w:w="1800"/>
        <w:gridCol w:w="2736"/>
      </w:tblGrid>
      <w:tr>
        <w:trPr>
          <w:cantSplit/>
          <w:tblHeader/>
        </w:trPr>
        <w:tc>
          <w:tcPr>
            <w:tcW w:type="dxa" w:w="2016"/>
            <w:vAlign w:val="center"/>
            <w:tcMar>
              <w:top w:w="50" w:type="dxa"/>
              <w:bottom w:w="50" w:type="dxa"/>
              <w:left w:w="95" w:type="dxa"/>
              <w:right w:w="95" w:type="dxa"/>
            </w:tcMar>
            <w:shd w:fill="333333"/>
          </w:tcPr>
          <w:p>
            <w:pPr>
              <w:spacing w:after="0" w:before="0" w:line="240" w:lineRule="auto"/>
              <w:jc w:val="left"/>
            </w:pPr>
            <w:r>
              <w:rPr>
                <w:rFonts w:ascii="Poppins" w:hAnsi="Poppins"/>
                <w:b/>
                <w:color w:val="FFFFFF"/>
                <w:sz w:val="20"/>
              </w:rPr>
              <w:t>Group</w:t>
            </w:r>
          </w:p>
        </w:tc>
        <w:tc>
          <w:tcPr>
            <w:tcW w:type="dxa" w:w="1728"/>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20"/>
              </w:rPr>
              <w:t>Companies chosen</w:t>
            </w:r>
          </w:p>
        </w:tc>
        <w:tc>
          <w:tcPr>
            <w:tcW w:type="dxa" w:w="1656"/>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20"/>
              </w:rPr>
              <w:t>Stocks chosen</w:t>
            </w:r>
          </w:p>
        </w:tc>
        <w:tc>
          <w:tcPr>
            <w:tcW w:type="dxa" w:w="1800"/>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20"/>
              </w:rPr>
              <w:t>Stocks with history</w:t>
            </w:r>
          </w:p>
        </w:tc>
        <w:tc>
          <w:tcPr>
            <w:tcW w:type="dxa" w:w="2736"/>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20"/>
              </w:rPr>
              <w:t>Eligible stocks in tests</w:t>
            </w:r>
          </w:p>
        </w:tc>
      </w:tr>
      <w:tr>
        <w:trPr>
          <w:cantSplit/>
        </w:trPr>
        <w:tc>
          <w:tcPr>
            <w:tcW w:type="dxa" w:w="2016"/>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20"/>
              </w:rPr>
              <w:t>NYSE top 100</w:t>
            </w:r>
          </w:p>
        </w:tc>
        <w:tc>
          <w:tcPr>
            <w:tcW w:type="dxa" w:w="172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20"/>
              </w:rPr>
              <w:t>100</w:t>
            </w:r>
          </w:p>
        </w:tc>
        <w:tc>
          <w:tcPr>
            <w:tcW w:type="dxa" w:w="165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20"/>
              </w:rPr>
              <w:t>100</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20"/>
              </w:rPr>
              <w:t>100</w:t>
            </w:r>
          </w:p>
        </w:tc>
        <w:tc>
          <w:tcPr>
            <w:tcW w:type="dxa" w:w="273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20"/>
              </w:rPr>
              <w:t>99 to 100</w:t>
            </w:r>
          </w:p>
        </w:tc>
      </w:tr>
      <w:tr>
        <w:trPr>
          <w:cantSplit/>
        </w:trPr>
        <w:tc>
          <w:tcPr>
            <w:tcW w:type="dxa" w:w="2016"/>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20"/>
              </w:rPr>
              <w:t>NASDAQ 100</w:t>
            </w:r>
          </w:p>
        </w:tc>
        <w:tc>
          <w:tcPr>
            <w:tcW w:type="dxa" w:w="172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20"/>
              </w:rPr>
              <w:t>100</w:t>
            </w:r>
          </w:p>
        </w:tc>
        <w:tc>
          <w:tcPr>
            <w:tcW w:type="dxa" w:w="165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20"/>
              </w:rPr>
              <w:t>101</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20"/>
              </w:rPr>
              <w:t>99</w:t>
            </w:r>
          </w:p>
        </w:tc>
        <w:tc>
          <w:tcPr>
            <w:tcW w:type="dxa" w:w="273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20"/>
              </w:rPr>
              <w:t>91 to 99</w:t>
            </w:r>
          </w:p>
        </w:tc>
      </w:tr>
    </w:tbl>
    <w:p>
      <w:pPr>
        <w:pStyle w:val="TableSpacer"/>
      </w:pPr>
    </w:p>
    <w:p>
      <w:pPr>
        <w:spacing w:after="60"/>
        <w:jc w:val="center"/>
      </w:pPr>
      <w:r>
        <w:drawing>
          <wp:inline xmlns:a="http://schemas.openxmlformats.org/drawingml/2006/main" xmlns:pic="http://schemas.openxmlformats.org/drawingml/2006/picture">
            <wp:extent cx="6309360" cy="1508029"/>
            <wp:docPr id="1" name="Picture 1"/>
            <wp:cNvGraphicFramePr>
              <a:graphicFrameLocks noChangeAspect="1"/>
            </wp:cNvGraphicFramePr>
            <a:graphic>
              <a:graphicData uri="http://schemas.openxmlformats.org/drawingml/2006/picture">
                <pic:pic>
                  <pic:nvPicPr>
                    <pic:cNvPr id="0" name="coverage.png"/>
                    <pic:cNvPicPr/>
                  </pic:nvPicPr>
                  <pic:blipFill>
                    <a:blip r:embed="rId11"/>
                    <a:stretch>
                      <a:fillRect/>
                    </a:stretch>
                  </pic:blipFill>
                  <pic:spPr>
                    <a:xfrm>
                      <a:off x="0" y="0"/>
                      <a:ext cx="6309360" cy="1508029"/>
                    </a:xfrm>
                    <a:prstGeom prst="rect"/>
                  </pic:spPr>
                </pic:pic>
              </a:graphicData>
            </a:graphic>
          </wp:inline>
        </w:drawing>
      </w:r>
    </w:p>
    <w:p>
      <w:r>
        <w:t>NASDAQ has 101 stocks because Alphabet has two included share classes. The 99 available stock histories represent 98 companies. The first available Yahoo prices for HONA and SPCX begin in June 2026, after the 2018–2025 training window. Recent listings and spin-offs also explain why fewer stocks qualify in earlier test years. We kept every chosen company and did not replace missing names.</w:t>
      </w:r>
    </w:p>
    <w:p>
      <w:r>
        <w:t>NYSE selection uses company market value, removes preferred-share rows and duplicate companies, and uses Berkshire Class B. It includes foreign companies with NYSE-listed depositary shares. This is a custom group of the largest NYSE-listed companies, separate from the official NYSE 100 technology and growth index.</w:t>
      </w:r>
    </w:p>
    <w:p>
      <w:pPr>
        <w:pStyle w:val="Heading1"/>
        <w:pageBreakBefore/>
      </w:pPr>
      <w:r>
        <w:t>Returns after trading costs</w:t>
      </w:r>
    </w:p>
    <w:p>
      <w:r>
        <w:t>Earlier validation selected each model and trading rule. NYSE charts use a simulated cohort basket; NASDAQ charts use QQQ. NYSX tracks the official NYSE 100 growth index across exchanges, launched March 25, 2026, and has no 2022–2025 ETF history.</w:t>
      </w:r>
    </w:p>
    <w:p>
      <w:pPr>
        <w:pStyle w:val="Heading2"/>
      </w:pPr>
      <w:r>
        <w:t>Five day forecasts</w:t>
      </w:r>
    </w:p>
    <w:p>
      <w:pPr>
        <w:spacing w:after="60"/>
        <w:jc w:val="center"/>
      </w:pPr>
      <w:r>
        <w:drawing>
          <wp:inline xmlns:a="http://schemas.openxmlformats.org/drawingml/2006/main" xmlns:pic="http://schemas.openxmlformats.org/drawingml/2006/picture">
            <wp:extent cx="6309360" cy="2716176"/>
            <wp:docPr id="2" name="Picture 2"/>
            <wp:cNvGraphicFramePr>
              <a:graphicFrameLocks noChangeAspect="1"/>
            </wp:cNvGraphicFramePr>
            <a:graphic>
              <a:graphicData uri="http://schemas.openxmlformats.org/drawingml/2006/picture">
                <pic:pic>
                  <pic:nvPicPr>
                    <pic:cNvPr id="0" name="procedure_h5.png"/>
                    <pic:cNvPicPr/>
                  </pic:nvPicPr>
                  <pic:blipFill>
                    <a:blip r:embed="rId12"/>
                    <a:stretch>
                      <a:fillRect/>
                    </a:stretch>
                  </pic:blipFill>
                  <pic:spPr>
                    <a:xfrm>
                      <a:off x="0" y="0"/>
                      <a:ext cx="6309360" cy="2716176"/>
                    </a:xfrm>
                    <a:prstGeom prst="rect"/>
                  </pic:spPr>
                </pic:pic>
              </a:graphicData>
            </a:graphic>
          </wp:inline>
        </w:drawing>
      </w:r>
    </w:p>
    <w:p>
      <w:pPr>
        <w:pStyle w:val="Heading2"/>
      </w:pPr>
      <w:r>
        <w:t>One day forecasts</w:t>
      </w:r>
    </w:p>
    <w:p>
      <w:pPr>
        <w:spacing w:after="60"/>
        <w:jc w:val="center"/>
      </w:pPr>
      <w:r>
        <w:drawing>
          <wp:inline xmlns:a="http://schemas.openxmlformats.org/drawingml/2006/main" xmlns:pic="http://schemas.openxmlformats.org/drawingml/2006/picture">
            <wp:extent cx="6309360" cy="2688959"/>
            <wp:docPr id="3" name="Picture 3"/>
            <wp:cNvGraphicFramePr>
              <a:graphicFrameLocks noChangeAspect="1"/>
            </wp:cNvGraphicFramePr>
            <a:graphic>
              <a:graphicData uri="http://schemas.openxmlformats.org/drawingml/2006/picture">
                <pic:pic>
                  <pic:nvPicPr>
                    <pic:cNvPr id="0" name="procedure_h1.png"/>
                    <pic:cNvPicPr/>
                  </pic:nvPicPr>
                  <pic:blipFill>
                    <a:blip r:embed="rId13"/>
                    <a:stretch>
                      <a:fillRect/>
                    </a:stretch>
                  </pic:blipFill>
                  <pic:spPr>
                    <a:xfrm>
                      <a:off x="0" y="0"/>
                      <a:ext cx="6309360" cy="2688959"/>
                    </a:xfrm>
                    <a:prstGeom prst="rect"/>
                  </pic:spPr>
                </pic:pic>
              </a:graphicData>
            </a:graphic>
          </wp:inline>
        </w:drawing>
      </w:r>
    </w:p>
    <w:p>
      <w:pPr>
        <w:pStyle w:val="Caption"/>
      </w:pPr>
      <w:r>
        <w:t>Each year starts a separate simulated account. These curves combine the annual percentage returns and omit untested boundary sessions. They are research summaries, rather than the record of one continuously held account.</w:t>
      </w:r>
    </w:p>
    <w:p>
      <w:pPr>
        <w:pStyle w:val="Heading1"/>
        <w:pageBreakBefore/>
      </w:pPr>
      <w:r>
        <w:t>How well forecasts ordered the stocks</w:t>
      </w:r>
    </w:p>
    <w:p>
      <w:r>
        <w:t>A model tries to put stocks with higher future returns above stocks with lower future returns. This chart shows its average agreement with the actual order over the following five trading days. It includes every declared five-day neural model in both company groups.</w:t>
      </w:r>
    </w:p>
    <w:p>
      <w:pPr>
        <w:spacing w:after="60"/>
        <w:jc w:val="center"/>
      </w:pPr>
      <w:r>
        <w:drawing>
          <wp:inline xmlns:a="http://schemas.openxmlformats.org/drawingml/2006/main" xmlns:pic="http://schemas.openxmlformats.org/drawingml/2006/picture">
            <wp:extent cx="6309360" cy="4747762"/>
            <wp:docPr id="4" name="Picture 4"/>
            <wp:cNvGraphicFramePr>
              <a:graphicFrameLocks noChangeAspect="1"/>
            </wp:cNvGraphicFramePr>
            <a:graphic>
              <a:graphicData uri="http://schemas.openxmlformats.org/drawingml/2006/picture">
                <pic:pic>
                  <pic:nvPicPr>
                    <pic:cNvPr id="0" name="ranking.png"/>
                    <pic:cNvPicPr/>
                  </pic:nvPicPr>
                  <pic:blipFill>
                    <a:blip r:embed="rId14"/>
                    <a:stretch>
                      <a:fillRect/>
                    </a:stretch>
                  </pic:blipFill>
                  <pic:spPr>
                    <a:xfrm>
                      <a:off x="0" y="0"/>
                      <a:ext cx="6309360" cy="4747762"/>
                    </a:xfrm>
                    <a:prstGeom prst="rect"/>
                  </pic:spPr>
                </pic:pic>
              </a:graphicData>
            </a:graphic>
          </wp:inline>
        </w:drawing>
      </w:r>
    </w:p>
    <w:p>
      <w:r>
        <w:t>Zero means no consistent agreement. Positive scores mean the model tended to put future winners higher; negative scores mean it tended to reverse the order. The mathematical score ranges from minus one to plus one. It is a rank correlation, called RankIC, rather than the percentage of predictions that were correct.</w:t>
      </w:r>
    </w:p>
    <w:p>
      <w:r>
        <w:t>Prediction quality and portfolio returns answer different questions. A portfolio holds only a subset of stocks, while this score evaluates the entire eligible group. Position weights, price variability and trading costs can change the investment outcome even when ordering scores look similar.</w:t>
      </w:r>
    </w:p>
    <w:p>
      <w:pPr>
        <w:pStyle w:val="Heading1"/>
        <w:pageBreakBefore/>
      </w:pPr>
      <w:r>
        <w:t>Performance of the model selection procedure</w:t>
      </w:r>
    </w:p>
    <w:p>
      <w:r>
        <w:t>Sharpe measures return relative to how much returns fluctuate, after a fixed 3% annual hurdle. Higher is better within this study. A positive return alone does not mean that a model outperformed an index fund.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1440"/>
        <w:gridCol w:w="1440"/>
        <w:gridCol w:w="1440"/>
        <w:gridCol w:w="1584"/>
        <w:gridCol w:w="1584"/>
      </w:tblGrid>
      <w:tr>
        <w:trPr>
          <w:cantSplit/>
          <w:tblHeader/>
        </w:trPr>
        <w:tc>
          <w:tcPr>
            <w:tcW w:type="dxa" w:w="2448"/>
            <w:vAlign w:val="center"/>
            <w:tcMar>
              <w:top w:w="50" w:type="dxa"/>
              <w:bottom w:w="50" w:type="dxa"/>
              <w:left w:w="95" w:type="dxa"/>
              <w:right w:w="95" w:type="dxa"/>
            </w:tcMar>
            <w:shd w:fill="333333"/>
          </w:tcPr>
          <w:p>
            <w:pPr>
              <w:spacing w:after="0" w:before="0" w:line="240" w:lineRule="auto"/>
              <w:jc w:val="left"/>
            </w:pPr>
            <w:r>
              <w:rPr>
                <w:rFonts w:ascii="Poppins" w:hAnsi="Poppins"/>
                <w:b/>
                <w:color w:val="FFFFFF"/>
                <w:sz w:val="20"/>
              </w:rPr>
              <w:t>Group and forecast</w:t>
            </w:r>
          </w:p>
        </w:tc>
        <w:tc>
          <w:tcPr>
            <w:tcW w:type="dxa" w:w="1440"/>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20"/>
              </w:rPr>
              <w:t>Model Sharpe</w:t>
            </w:r>
          </w:p>
        </w:tc>
        <w:tc>
          <w:tcPr>
            <w:tcW w:type="dxa" w:w="1440"/>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20"/>
              </w:rPr>
              <w:t>SPY Sharpe</w:t>
            </w:r>
          </w:p>
        </w:tc>
        <w:tc>
          <w:tcPr>
            <w:tcW w:type="dxa" w:w="1440"/>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20"/>
              </w:rPr>
              <w:t>Benchmark Sharpe</w:t>
            </w:r>
          </w:p>
        </w:tc>
        <w:tc>
          <w:tcPr>
            <w:tcW w:type="dxa" w:w="1584"/>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20"/>
              </w:rPr>
              <w:t>Total return</w:t>
            </w:r>
          </w:p>
        </w:tc>
        <w:tc>
          <w:tcPr>
            <w:tcW w:type="dxa" w:w="1584"/>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20"/>
              </w:rPr>
              <w:t>Worst fall</w:t>
            </w:r>
          </w:p>
        </w:tc>
      </w:tr>
      <w:tr>
        <w:trPr>
          <w:cantSplit/>
        </w:trPr>
        <w:tc>
          <w:tcPr>
            <w:tcW w:type="dxa" w:w="2448"/>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20"/>
              </w:rPr>
              <w:t>NYSE top 100</w:t>
              <w:br/>
              <w:t>Five day</w:t>
            </w:r>
          </w:p>
        </w:tc>
        <w:tc>
          <w:tcPr>
            <w:tcW w:type="dxa" w:w="144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20"/>
              </w:rPr>
              <w:t>0.40</w:t>
            </w:r>
          </w:p>
        </w:tc>
        <w:tc>
          <w:tcPr>
            <w:tcW w:type="dxa" w:w="144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20"/>
              </w:rPr>
              <w:t>0.62</w:t>
            </w:r>
          </w:p>
        </w:tc>
        <w:tc>
          <w:tcPr>
            <w:tcW w:type="dxa" w:w="144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20"/>
              </w:rPr>
              <w:t>0.97</w:t>
            </w:r>
          </w:p>
        </w:tc>
        <w:tc>
          <w:tcPr>
            <w:tcW w:type="dxa" w:w="158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20"/>
              </w:rPr>
              <w:t>45.3%</w:t>
            </w:r>
          </w:p>
        </w:tc>
        <w:tc>
          <w:tcPr>
            <w:tcW w:type="dxa" w:w="158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20"/>
              </w:rPr>
              <w:t>-28.1%</w:t>
            </w:r>
          </w:p>
        </w:tc>
      </w:tr>
      <w:tr>
        <w:trPr>
          <w:cantSplit/>
        </w:trPr>
        <w:tc>
          <w:tcPr>
            <w:tcW w:type="dxa" w:w="2448"/>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20"/>
              </w:rPr>
              <w:t>NASDAQ 100</w:t>
              <w:br/>
              <w:t>Five day</w:t>
            </w:r>
          </w:p>
        </w:tc>
        <w:tc>
          <w:tcPr>
            <w:tcW w:type="dxa" w:w="144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20"/>
              </w:rPr>
              <w:t>0.78</w:t>
            </w:r>
          </w:p>
        </w:tc>
        <w:tc>
          <w:tcPr>
            <w:tcW w:type="dxa" w:w="144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20"/>
              </w:rPr>
              <w:t>0.62</w:t>
            </w:r>
          </w:p>
        </w:tc>
        <w:tc>
          <w:tcPr>
            <w:tcW w:type="dxa" w:w="144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20"/>
              </w:rPr>
              <w:t>0.63</w:t>
            </w:r>
          </w:p>
        </w:tc>
        <w:tc>
          <w:tcPr>
            <w:tcW w:type="dxa" w:w="158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20"/>
              </w:rPr>
              <w:t>153.6%</w:t>
            </w:r>
          </w:p>
        </w:tc>
        <w:tc>
          <w:tcPr>
            <w:tcW w:type="dxa" w:w="158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20"/>
              </w:rPr>
              <w:t>-39.6%</w:t>
            </w:r>
          </w:p>
        </w:tc>
      </w:tr>
      <w:tr>
        <w:trPr>
          <w:cantSplit/>
        </w:trPr>
        <w:tc>
          <w:tcPr>
            <w:tcW w:type="dxa" w:w="2448"/>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20"/>
              </w:rPr>
              <w:t>NYSE top 100</w:t>
              <w:br/>
              <w:t>One day</w:t>
            </w:r>
          </w:p>
        </w:tc>
        <w:tc>
          <w:tcPr>
            <w:tcW w:type="dxa" w:w="144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20"/>
              </w:rPr>
              <w:t>0.09</w:t>
            </w:r>
          </w:p>
        </w:tc>
        <w:tc>
          <w:tcPr>
            <w:tcW w:type="dxa" w:w="144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20"/>
              </w:rPr>
              <w:t>0.50</w:t>
            </w:r>
          </w:p>
        </w:tc>
        <w:tc>
          <w:tcPr>
            <w:tcW w:type="dxa" w:w="144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20"/>
              </w:rPr>
              <w:t>0.90</w:t>
            </w:r>
          </w:p>
        </w:tc>
        <w:tc>
          <w:tcPr>
            <w:tcW w:type="dxa" w:w="158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20"/>
              </w:rPr>
              <w:t>11.4%</w:t>
            </w:r>
          </w:p>
        </w:tc>
        <w:tc>
          <w:tcPr>
            <w:tcW w:type="dxa" w:w="158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20"/>
              </w:rPr>
              <w:t>-26.6%</w:t>
            </w:r>
          </w:p>
        </w:tc>
      </w:tr>
      <w:tr>
        <w:trPr>
          <w:cantSplit/>
        </w:trPr>
        <w:tc>
          <w:tcPr>
            <w:tcW w:type="dxa" w:w="2448"/>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20"/>
              </w:rPr>
              <w:t>NASDAQ 100</w:t>
              <w:br/>
              <w:t>One day</w:t>
            </w:r>
          </w:p>
        </w:tc>
        <w:tc>
          <w:tcPr>
            <w:tcW w:type="dxa" w:w="144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20"/>
              </w:rPr>
              <w:t>0.52</w:t>
            </w:r>
          </w:p>
        </w:tc>
        <w:tc>
          <w:tcPr>
            <w:tcW w:type="dxa" w:w="144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20"/>
              </w:rPr>
              <w:t>0.50</w:t>
            </w:r>
          </w:p>
        </w:tc>
        <w:tc>
          <w:tcPr>
            <w:tcW w:type="dxa" w:w="144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20"/>
              </w:rPr>
              <w:t>0.50</w:t>
            </w:r>
          </w:p>
        </w:tc>
        <w:tc>
          <w:tcPr>
            <w:tcW w:type="dxa" w:w="158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20"/>
              </w:rPr>
              <w:t>73.6%</w:t>
            </w:r>
          </w:p>
        </w:tc>
        <w:tc>
          <w:tcPr>
            <w:tcW w:type="dxa" w:w="158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20"/>
              </w:rPr>
              <w:t>-37.5%</w:t>
            </w:r>
          </w:p>
        </w:tc>
      </w:tr>
    </w:tbl>
    <w:p>
      <w:pPr>
        <w:pStyle w:val="TableSpacer"/>
      </w:pPr>
    </w:p>
    <w:p>
      <w:r>
        <w:t>Benchmark means the simulated NYSE cohort basket for NYSE and QQQ for NASDAQ. The basket is equally weighted at scheduled rebalances with modeled costs. NYSX performance is unavailable in these test years. Total returns combine annual folds.</w:t>
      </w:r>
    </w:p>
    <w:p>
      <w:pPr>
        <w:pStyle w:val="Heading2"/>
      </w:pPr>
      <w:r>
        <w:t>Uncertainty in the comparison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1296"/>
        <w:gridCol w:w="2448"/>
        <w:gridCol w:w="1296"/>
        <w:gridCol w:w="2592"/>
      </w:tblGrid>
      <w:tr>
        <w:trPr>
          <w:cantSplit/>
          <w:tblHeader/>
        </w:trPr>
        <w:tc>
          <w:tcPr>
            <w:tcW w:type="dxa" w:w="2304"/>
            <w:vAlign w:val="center"/>
            <w:tcMar>
              <w:top w:w="50" w:type="dxa"/>
              <w:bottom w:w="50" w:type="dxa"/>
              <w:left w:w="95" w:type="dxa"/>
              <w:right w:w="95" w:type="dxa"/>
            </w:tcMar>
            <w:shd w:fill="333333"/>
          </w:tcPr>
          <w:p>
            <w:pPr>
              <w:spacing w:after="0" w:before="0" w:line="240" w:lineRule="auto"/>
              <w:jc w:val="left"/>
            </w:pPr>
            <w:r>
              <w:rPr>
                <w:rFonts w:ascii="Poppins" w:hAnsi="Poppins"/>
                <w:b/>
                <w:color w:val="FFFFFF"/>
                <w:sz w:val="19"/>
              </w:rPr>
              <w:t>Group and forecast</w:t>
            </w:r>
          </w:p>
        </w:tc>
        <w:tc>
          <w:tcPr>
            <w:tcW w:type="dxa" w:w="1296"/>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9"/>
              </w:rPr>
              <w:t>Gain over SPY</w:t>
            </w:r>
          </w:p>
        </w:tc>
        <w:tc>
          <w:tcPr>
            <w:tcW w:type="dxa" w:w="2448"/>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9"/>
              </w:rPr>
              <w:t>95% range</w:t>
            </w:r>
          </w:p>
        </w:tc>
        <w:tc>
          <w:tcPr>
            <w:tcW w:type="dxa" w:w="1296"/>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9"/>
              </w:rPr>
              <w:t>Gain over benchmark</w:t>
            </w:r>
          </w:p>
        </w:tc>
        <w:tc>
          <w:tcPr>
            <w:tcW w:type="dxa" w:w="2592"/>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9"/>
              </w:rPr>
              <w:t>95% range</w:t>
            </w:r>
          </w:p>
        </w:tc>
      </w:tr>
      <w:tr>
        <w:trPr>
          <w:cantSplit/>
        </w:trPr>
        <w:tc>
          <w:tcPr>
            <w:tcW w:type="dxa" w:w="2304"/>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9"/>
              </w:rPr>
              <w:t>NYSE top 100</w:t>
              <w:br/>
              <w:t>Five day</w:t>
            </w:r>
          </w:p>
        </w:tc>
        <w:tc>
          <w:tcPr>
            <w:tcW w:type="dxa" w:w="129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-0.22</w:t>
            </w:r>
          </w:p>
        </w:tc>
        <w:tc>
          <w:tcPr>
            <w:tcW w:type="dxa" w:w="244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-0.79 to 0.35</w:t>
            </w:r>
          </w:p>
        </w:tc>
        <w:tc>
          <w:tcPr>
            <w:tcW w:type="dxa" w:w="129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-0.57</w:t>
            </w:r>
          </w:p>
        </w:tc>
        <w:tc>
          <w:tcPr>
            <w:tcW w:type="dxa" w:w="2592"/>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-1.13 to -0.02</w:t>
            </w:r>
          </w:p>
        </w:tc>
      </w:tr>
      <w:tr>
        <w:trPr>
          <w:cantSplit/>
        </w:trPr>
        <w:tc>
          <w:tcPr>
            <w:tcW w:type="dxa" w:w="2304"/>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9"/>
              </w:rPr>
              <w:t>NASDAQ 100</w:t>
              <w:br/>
              <w:t>Five day</w:t>
            </w:r>
          </w:p>
        </w:tc>
        <w:tc>
          <w:tcPr>
            <w:tcW w:type="dxa" w:w="129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0.16</w:t>
            </w:r>
          </w:p>
        </w:tc>
        <w:tc>
          <w:tcPr>
            <w:tcW w:type="dxa" w:w="244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-0.31 to 0.67</w:t>
            </w:r>
          </w:p>
        </w:tc>
        <w:tc>
          <w:tcPr>
            <w:tcW w:type="dxa" w:w="129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0.15</w:t>
            </w:r>
          </w:p>
        </w:tc>
        <w:tc>
          <w:tcPr>
            <w:tcW w:type="dxa" w:w="2592"/>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-0.34 to 0.69</w:t>
            </w:r>
          </w:p>
        </w:tc>
      </w:tr>
      <w:tr>
        <w:trPr>
          <w:cantSplit/>
        </w:trPr>
        <w:tc>
          <w:tcPr>
            <w:tcW w:type="dxa" w:w="2304"/>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9"/>
              </w:rPr>
              <w:t>NYSE top 100</w:t>
              <w:br/>
              <w:t>One day</w:t>
            </w:r>
          </w:p>
        </w:tc>
        <w:tc>
          <w:tcPr>
            <w:tcW w:type="dxa" w:w="129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-0.40</w:t>
            </w:r>
          </w:p>
        </w:tc>
        <w:tc>
          <w:tcPr>
            <w:tcW w:type="dxa" w:w="244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-0.93 to 0.11</w:t>
            </w:r>
          </w:p>
        </w:tc>
        <w:tc>
          <w:tcPr>
            <w:tcW w:type="dxa" w:w="129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-0.81</w:t>
            </w:r>
          </w:p>
        </w:tc>
        <w:tc>
          <w:tcPr>
            <w:tcW w:type="dxa" w:w="2592"/>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-1.29 to -0.35</w:t>
            </w:r>
          </w:p>
        </w:tc>
      </w:tr>
      <w:tr>
        <w:trPr>
          <w:cantSplit/>
        </w:trPr>
        <w:tc>
          <w:tcPr>
            <w:tcW w:type="dxa" w:w="2304"/>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9"/>
              </w:rPr>
              <w:t>NASDAQ 100</w:t>
              <w:br/>
              <w:t>One day</w:t>
            </w:r>
          </w:p>
        </w:tc>
        <w:tc>
          <w:tcPr>
            <w:tcW w:type="dxa" w:w="129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0.03</w:t>
            </w:r>
          </w:p>
        </w:tc>
        <w:tc>
          <w:tcPr>
            <w:tcW w:type="dxa" w:w="244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-0.44 to 0.49</w:t>
            </w:r>
          </w:p>
        </w:tc>
        <w:tc>
          <w:tcPr>
            <w:tcW w:type="dxa" w:w="129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0.02</w:t>
            </w:r>
          </w:p>
        </w:tc>
        <w:tc>
          <w:tcPr>
            <w:tcW w:type="dxa" w:w="2592"/>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-0.43 to 0.52</w:t>
            </w:r>
          </w:p>
        </w:tc>
      </w:tr>
    </w:tbl>
    <w:p>
      <w:pPr>
        <w:pStyle w:val="TableSpacer"/>
      </w:pPr>
    </w:p>
    <w:p>
      <w:r>
        <w:t>These ranges estimate uncertainty in the Sharpe difference using 1,000 resampled versions of the daily returns. A range that crosses zero does not establish an advantage. The resampling preserves blocks of 20 trading days within each year and uses the same dates for the model and benchmarks. It does not repeat model training or correct for testing many candidates.</w:t>
      </w:r>
    </w:p>
    <w:p>
      <w:pPr>
        <w:pStyle w:val="Heading1"/>
        <w:pageBreakBefore/>
      </w:pPr>
      <w:r>
        <w:t>How trading costs changed performance</w:t>
      </w:r>
    </w:p>
    <w:p>
      <w:r>
        <w:t>At a fixed rule of ten equally weighted stocks, daily forecasts had higher net Sharpe in 12 of 88 matched model, group and year cases. These cases reuse the same companies and years; they are not independent experiments. Each horizon retains its saved test dates and annual boundary gaps.</w:t>
      </w:r>
    </w:p>
    <w:p>
      <w:r>
        <w:t>The chart compares the amount of trading with the change in Sharpe caused by modeled costs. A trading value of ten means that annual transactions total about ten times the portfolio’s value. Yellow marks five-day forecasts; grey marks daily forecasts.</w:t>
      </w:r>
    </w:p>
    <w:p>
      <w:pPr>
        <w:spacing w:after="60"/>
        <w:jc w:val="center"/>
      </w:pPr>
      <w:r>
        <w:drawing>
          <wp:inline xmlns:a="http://schemas.openxmlformats.org/drawingml/2006/main" xmlns:pic="http://schemas.openxmlformats.org/drawingml/2006/picture">
            <wp:extent cx="6309360" cy="2319865"/>
            <wp:docPr id="5" name="Picture 5"/>
            <wp:cNvGraphicFramePr>
              <a:graphicFrameLocks noChangeAspect="1"/>
            </wp:cNvGraphicFramePr>
            <a:graphic>
              <a:graphicData uri="http://schemas.openxmlformats.org/drawingml/2006/picture">
                <pic:pic>
                  <pic:nvPicPr>
                    <pic:cNvPr id="0" name="costs.png"/>
                    <pic:cNvPicPr/>
                  </pic:nvPicPr>
                  <pic:blipFill>
                    <a:blip r:embed="rId15"/>
                    <a:stretch>
                      <a:fillRect/>
                    </a:stretch>
                  </pic:blipFill>
                  <pic:spPr>
                    <a:xfrm>
                      <a:off x="0" y="0"/>
                      <a:ext cx="6309360" cy="2319865"/>
                    </a:xfrm>
                    <a:prstGeom prst="rect"/>
                  </pic:spPr>
                </pic:pic>
              </a:graphicData>
            </a:graphic>
          </wp:inline>
        </w:drawing>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2016"/>
        <w:gridCol w:w="2016"/>
        <w:gridCol w:w="3456"/>
      </w:tblGrid>
      <w:tr>
        <w:trPr>
          <w:cantSplit/>
          <w:tblHeader/>
        </w:trPr>
        <w:tc>
          <w:tcPr>
            <w:tcW w:type="dxa" w:w="2448"/>
            <w:vAlign w:val="center"/>
            <w:tcMar>
              <w:top w:w="50" w:type="dxa"/>
              <w:bottom w:w="50" w:type="dxa"/>
              <w:left w:w="95" w:type="dxa"/>
              <w:right w:w="95" w:type="dxa"/>
            </w:tcMar>
            <w:shd w:fill="333333"/>
          </w:tcPr>
          <w:p>
            <w:pPr>
              <w:spacing w:after="0" w:before="0" w:line="240" w:lineRule="auto"/>
              <w:jc w:val="left"/>
            </w:pPr>
            <w:r>
              <w:rPr>
                <w:rFonts w:ascii="Poppins" w:hAnsi="Poppins"/>
                <w:b/>
                <w:color w:val="FFFFFF"/>
                <w:sz w:val="19"/>
              </w:rPr>
              <w:t>Group and forecast</w:t>
            </w:r>
          </w:p>
        </w:tc>
        <w:tc>
          <w:tcPr>
            <w:tcW w:type="dxa" w:w="2016"/>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9"/>
              </w:rPr>
              <w:t>Sharpe before costs</w:t>
            </w:r>
          </w:p>
        </w:tc>
        <w:tc>
          <w:tcPr>
            <w:tcW w:type="dxa" w:w="2016"/>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9"/>
              </w:rPr>
              <w:t>Sharpe after costs</w:t>
            </w:r>
          </w:p>
        </w:tc>
        <w:tc>
          <w:tcPr>
            <w:tcW w:type="dxa" w:w="3456"/>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9"/>
              </w:rPr>
              <w:t>Annual trading value divided by portfolio value</w:t>
            </w:r>
          </w:p>
        </w:tc>
      </w:tr>
      <w:tr>
        <w:trPr>
          <w:cantSplit/>
        </w:trPr>
        <w:tc>
          <w:tcPr>
            <w:tcW w:type="dxa" w:w="2448"/>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9"/>
              </w:rPr>
              <w:t>NYSE top 100</w:t>
              <w:br/>
              <w:t>Five day</w:t>
            </w:r>
          </w:p>
        </w:tc>
        <w:tc>
          <w:tcPr>
            <w:tcW w:type="dxa" w:w="201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0.46</w:t>
            </w:r>
          </w:p>
        </w:tc>
        <w:tc>
          <w:tcPr>
            <w:tcW w:type="dxa" w:w="201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0.40</w:t>
            </w:r>
          </w:p>
        </w:tc>
        <w:tc>
          <w:tcPr>
            <w:tcW w:type="dxa" w:w="345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16.0</w:t>
            </w:r>
          </w:p>
        </w:tc>
      </w:tr>
      <w:tr>
        <w:trPr>
          <w:cantSplit/>
        </w:trPr>
        <w:tc>
          <w:tcPr>
            <w:tcW w:type="dxa" w:w="2448"/>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9"/>
              </w:rPr>
              <w:t>NASDAQ 100</w:t>
              <w:br/>
              <w:t>Five day</w:t>
            </w:r>
          </w:p>
        </w:tc>
        <w:tc>
          <w:tcPr>
            <w:tcW w:type="dxa" w:w="201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0.91</w:t>
            </w:r>
          </w:p>
        </w:tc>
        <w:tc>
          <w:tcPr>
            <w:tcW w:type="dxa" w:w="201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0.78</w:t>
            </w:r>
          </w:p>
        </w:tc>
        <w:tc>
          <w:tcPr>
            <w:tcW w:type="dxa" w:w="345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58.9</w:t>
            </w:r>
          </w:p>
        </w:tc>
      </w:tr>
      <w:tr>
        <w:trPr>
          <w:cantSplit/>
        </w:trPr>
        <w:tc>
          <w:tcPr>
            <w:tcW w:type="dxa" w:w="2448"/>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9"/>
              </w:rPr>
              <w:t>NYSE top 100</w:t>
              <w:br/>
              <w:t>One day</w:t>
            </w:r>
          </w:p>
        </w:tc>
        <w:tc>
          <w:tcPr>
            <w:tcW w:type="dxa" w:w="201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0.15</w:t>
            </w:r>
          </w:p>
        </w:tc>
        <w:tc>
          <w:tcPr>
            <w:tcW w:type="dxa" w:w="201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0.09</w:t>
            </w:r>
          </w:p>
        </w:tc>
        <w:tc>
          <w:tcPr>
            <w:tcW w:type="dxa" w:w="345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17.1</w:t>
            </w:r>
          </w:p>
        </w:tc>
      </w:tr>
      <w:tr>
        <w:trPr>
          <w:cantSplit/>
        </w:trPr>
        <w:tc>
          <w:tcPr>
            <w:tcW w:type="dxa" w:w="2448"/>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9"/>
              </w:rPr>
              <w:t>NASDAQ 100</w:t>
              <w:br/>
              <w:t>One day</w:t>
            </w:r>
          </w:p>
        </w:tc>
        <w:tc>
          <w:tcPr>
            <w:tcW w:type="dxa" w:w="201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0.86</w:t>
            </w:r>
          </w:p>
        </w:tc>
        <w:tc>
          <w:tcPr>
            <w:tcW w:type="dxa" w:w="201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0.52</w:t>
            </w:r>
          </w:p>
        </w:tc>
        <w:tc>
          <w:tcPr>
            <w:tcW w:type="dxa" w:w="345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131.8</w:t>
            </w:r>
          </w:p>
        </w:tc>
      </w:tr>
    </w:tbl>
    <w:p>
      <w:pPr>
        <w:pStyle w:val="TableSpacer"/>
      </w:pPr>
    </w:p>
    <w:p>
      <w:r>
        <w:t>The before-and-after columns use the same holdings and trades. Turnover describes how much trading the strategy requires. More trading creates more opportunities for fees, spreads and price impact to consume a small prediction advantage.</w:t>
      </w:r>
    </w:p>
    <w:p>
      <w:pPr>
        <w:pStyle w:val="Heading1"/>
        <w:pageBreakBefore/>
      </w:pPr>
      <w:r>
        <w:t>Annual model choices</w:t>
      </w:r>
    </w:p>
    <w:p>
      <w:r>
        <w:t>These choices were locked from prior validation scores before the new held-out performance statistics were computed. Each annual test uses the model and stock count listed below.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1080"/>
        <w:gridCol w:w="1152"/>
        <w:gridCol w:w="4824"/>
        <w:gridCol w:w="1224"/>
      </w:tblGrid>
      <w:tr>
        <w:trPr>
          <w:cantSplit/>
          <w:tblHeader/>
        </w:trPr>
        <w:tc>
          <w:tcPr>
            <w:tcW w:type="dxa" w:w="1656"/>
            <w:vAlign w:val="center"/>
            <w:tcMar>
              <w:top w:w="50" w:type="dxa"/>
              <w:bottom w:w="50" w:type="dxa"/>
              <w:left w:w="95" w:type="dxa"/>
              <w:right w:w="95" w:type="dxa"/>
            </w:tcMar>
            <w:shd w:fill="333333"/>
          </w:tcPr>
          <w:p>
            <w:pPr>
              <w:spacing w:after="0" w:before="0" w:line="240" w:lineRule="auto"/>
              <w:jc w:val="left"/>
            </w:pPr>
            <w:r>
              <w:rPr>
                <w:rFonts w:ascii="Poppins" w:hAnsi="Poppins"/>
                <w:b/>
                <w:color w:val="FFFFFF"/>
                <w:sz w:val="18"/>
              </w:rPr>
              <w:t>Group</w:t>
            </w:r>
          </w:p>
        </w:tc>
        <w:tc>
          <w:tcPr>
            <w:tcW w:type="dxa" w:w="1080"/>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8"/>
              </w:rPr>
              <w:t>Forecast</w:t>
            </w:r>
          </w:p>
        </w:tc>
        <w:tc>
          <w:tcPr>
            <w:tcW w:type="dxa" w:w="1152"/>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8"/>
              </w:rPr>
              <w:t>Test year</w:t>
            </w:r>
          </w:p>
        </w:tc>
        <w:tc>
          <w:tcPr>
            <w:tcW w:type="dxa" w:w="4824"/>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8"/>
              </w:rPr>
              <w:t>Chosen model</w:t>
            </w:r>
          </w:p>
        </w:tc>
        <w:tc>
          <w:tcPr>
            <w:tcW w:type="dxa" w:w="1224"/>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8"/>
              </w:rPr>
              <w:t>Target stocks</w:t>
            </w:r>
          </w:p>
        </w:tc>
      </w:tr>
      <w:tr>
        <w:trPr>
          <w:cantSplit/>
        </w:trPr>
        <w:tc>
          <w:tcPr>
            <w:tcW w:type="dxa" w:w="1656"/>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NASDAQ 100</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 day</w:t>
            </w:r>
          </w:p>
        </w:tc>
        <w:tc>
          <w:tcPr>
            <w:tcW w:type="dxa" w:w="1152"/>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2022</w:t>
            </w:r>
          </w:p>
        </w:tc>
        <w:tc>
          <w:tcPr>
            <w:tcW w:type="dxa" w:w="482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THINK + mixer + Huber</w:t>
            </w:r>
          </w:p>
        </w:tc>
        <w:tc>
          <w:tcPr>
            <w:tcW w:type="dxa" w:w="122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20</w:t>
            </w:r>
          </w:p>
        </w:tc>
      </w:tr>
      <w:tr>
        <w:trPr>
          <w:cantSplit/>
        </w:trPr>
        <w:tc>
          <w:tcPr>
            <w:tcW w:type="dxa" w:w="1656"/>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NASDAQ 100</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 day</w:t>
            </w:r>
          </w:p>
        </w:tc>
        <w:tc>
          <w:tcPr>
            <w:tcW w:type="dxa" w:w="1152"/>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2023</w:t>
            </w:r>
          </w:p>
        </w:tc>
        <w:tc>
          <w:tcPr>
            <w:tcW w:type="dxa" w:w="482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Buy recent losers</w:t>
            </w:r>
          </w:p>
        </w:tc>
        <w:tc>
          <w:tcPr>
            <w:tcW w:type="dxa" w:w="122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10</w:t>
            </w:r>
          </w:p>
        </w:tc>
      </w:tr>
      <w:tr>
        <w:trPr>
          <w:cantSplit/>
        </w:trPr>
        <w:tc>
          <w:tcPr>
            <w:tcW w:type="dxa" w:w="1656"/>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NASDAQ 100</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 day</w:t>
            </w:r>
          </w:p>
        </w:tc>
        <w:tc>
          <w:tcPr>
            <w:tcW w:type="dxa" w:w="1152"/>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2024</w:t>
            </w:r>
          </w:p>
        </w:tc>
        <w:tc>
          <w:tcPr>
            <w:tcW w:type="dxa" w:w="482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THINK + mixer + Huber</w:t>
            </w:r>
          </w:p>
        </w:tc>
        <w:tc>
          <w:tcPr>
            <w:tcW w:type="dxa" w:w="122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10</w:t>
            </w:r>
          </w:p>
        </w:tc>
      </w:tr>
      <w:tr>
        <w:trPr>
          <w:cantSplit/>
        </w:trPr>
        <w:tc>
          <w:tcPr>
            <w:tcW w:type="dxa" w:w="1656"/>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NASDAQ 100</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 day</w:t>
            </w:r>
          </w:p>
        </w:tc>
        <w:tc>
          <w:tcPr>
            <w:tcW w:type="dxa" w:w="1152"/>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2025</w:t>
            </w:r>
          </w:p>
        </w:tc>
        <w:tc>
          <w:tcPr>
            <w:tcW w:type="dxa" w:w="482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THINK + mixer + Huber</w:t>
            </w:r>
          </w:p>
        </w:tc>
        <w:tc>
          <w:tcPr>
            <w:tcW w:type="dxa" w:w="122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5</w:t>
            </w:r>
          </w:p>
        </w:tc>
      </w:tr>
      <w:tr>
        <w:trPr>
          <w:cantSplit/>
        </w:trPr>
        <w:tc>
          <w:tcPr>
            <w:tcW w:type="dxa" w:w="1656"/>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NYSE top 100</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 day</w:t>
            </w:r>
          </w:p>
        </w:tc>
        <w:tc>
          <w:tcPr>
            <w:tcW w:type="dxa" w:w="1152"/>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2022</w:t>
            </w:r>
          </w:p>
        </w:tc>
        <w:tc>
          <w:tcPr>
            <w:tcW w:type="dxa" w:w="482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THINK + mixer + Huber</w:t>
            </w:r>
          </w:p>
        </w:tc>
        <w:tc>
          <w:tcPr>
            <w:tcW w:type="dxa" w:w="122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10</w:t>
            </w:r>
          </w:p>
        </w:tc>
      </w:tr>
      <w:tr>
        <w:trPr>
          <w:cantSplit/>
        </w:trPr>
        <w:tc>
          <w:tcPr>
            <w:tcW w:type="dxa" w:w="1656"/>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NYSE top 100</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 day</w:t>
            </w:r>
          </w:p>
        </w:tc>
        <w:tc>
          <w:tcPr>
            <w:tcW w:type="dxa" w:w="1152"/>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2023</w:t>
            </w:r>
          </w:p>
        </w:tc>
        <w:tc>
          <w:tcPr>
            <w:tcW w:type="dxa" w:w="482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THINK + mixer + Huber</w:t>
            </w:r>
          </w:p>
        </w:tc>
        <w:tc>
          <w:tcPr>
            <w:tcW w:type="dxa" w:w="122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5</w:t>
            </w:r>
          </w:p>
        </w:tc>
      </w:tr>
      <w:tr>
        <w:trPr>
          <w:cantSplit/>
        </w:trPr>
        <w:tc>
          <w:tcPr>
            <w:tcW w:type="dxa" w:w="1656"/>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NYSE top 100</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 day</w:t>
            </w:r>
          </w:p>
        </w:tc>
        <w:tc>
          <w:tcPr>
            <w:tcW w:type="dxa" w:w="1152"/>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2024</w:t>
            </w:r>
          </w:p>
        </w:tc>
        <w:tc>
          <w:tcPr>
            <w:tcW w:type="dxa" w:w="482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THINK + mixer + Huber</w:t>
            </w:r>
          </w:p>
        </w:tc>
        <w:tc>
          <w:tcPr>
            <w:tcW w:type="dxa" w:w="122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5</w:t>
            </w:r>
          </w:p>
        </w:tc>
      </w:tr>
      <w:tr>
        <w:trPr>
          <w:cantSplit/>
        </w:trPr>
        <w:tc>
          <w:tcPr>
            <w:tcW w:type="dxa" w:w="1656"/>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NYSE top 100</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 day</w:t>
            </w:r>
          </w:p>
        </w:tc>
        <w:tc>
          <w:tcPr>
            <w:tcW w:type="dxa" w:w="1152"/>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2025</w:t>
            </w:r>
          </w:p>
        </w:tc>
        <w:tc>
          <w:tcPr>
            <w:tcW w:type="dxa" w:w="482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THINK + mixer + Huber</w:t>
            </w:r>
          </w:p>
        </w:tc>
        <w:tc>
          <w:tcPr>
            <w:tcW w:type="dxa" w:w="122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10</w:t>
            </w:r>
          </w:p>
        </w:tc>
      </w:tr>
      <w:tr>
        <w:trPr>
          <w:cantSplit/>
        </w:trPr>
        <w:tc>
          <w:tcPr>
            <w:tcW w:type="dxa" w:w="1656"/>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NASDAQ 100</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5 day</w:t>
            </w:r>
          </w:p>
        </w:tc>
        <w:tc>
          <w:tcPr>
            <w:tcW w:type="dxa" w:w="1152"/>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2022</w:t>
            </w:r>
          </w:p>
        </w:tc>
        <w:tc>
          <w:tcPr>
            <w:tcW w:type="dxa" w:w="482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THINK + Huber</w:t>
            </w:r>
          </w:p>
        </w:tc>
        <w:tc>
          <w:tcPr>
            <w:tcW w:type="dxa" w:w="122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5</w:t>
            </w:r>
          </w:p>
        </w:tc>
      </w:tr>
      <w:tr>
        <w:trPr>
          <w:cantSplit/>
        </w:trPr>
        <w:tc>
          <w:tcPr>
            <w:tcW w:type="dxa" w:w="1656"/>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NASDAQ 100</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5 day</w:t>
            </w:r>
          </w:p>
        </w:tc>
        <w:tc>
          <w:tcPr>
            <w:tcW w:type="dxa" w:w="1152"/>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2023</w:t>
            </w:r>
          </w:p>
        </w:tc>
        <w:tc>
          <w:tcPr>
            <w:tcW w:type="dxa" w:w="482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THINK with risk output</w:t>
            </w:r>
          </w:p>
        </w:tc>
        <w:tc>
          <w:tcPr>
            <w:tcW w:type="dxa" w:w="122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5</w:t>
            </w:r>
          </w:p>
        </w:tc>
      </w:tr>
      <w:tr>
        <w:trPr>
          <w:cantSplit/>
        </w:trPr>
        <w:tc>
          <w:tcPr>
            <w:tcW w:type="dxa" w:w="1656"/>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NASDAQ 100</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5 day</w:t>
            </w:r>
          </w:p>
        </w:tc>
        <w:tc>
          <w:tcPr>
            <w:tcW w:type="dxa" w:w="1152"/>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2024</w:t>
            </w:r>
          </w:p>
        </w:tc>
        <w:tc>
          <w:tcPr>
            <w:tcW w:type="dxa" w:w="482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THINK + Huber</w:t>
            </w:r>
          </w:p>
        </w:tc>
        <w:tc>
          <w:tcPr>
            <w:tcW w:type="dxa" w:w="122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5</w:t>
            </w:r>
          </w:p>
        </w:tc>
      </w:tr>
      <w:tr>
        <w:trPr>
          <w:cantSplit/>
        </w:trPr>
        <w:tc>
          <w:tcPr>
            <w:tcW w:type="dxa" w:w="1656"/>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NASDAQ 100</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5 day</w:t>
            </w:r>
          </w:p>
        </w:tc>
        <w:tc>
          <w:tcPr>
            <w:tcW w:type="dxa" w:w="1152"/>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2025</w:t>
            </w:r>
          </w:p>
        </w:tc>
        <w:tc>
          <w:tcPr>
            <w:tcW w:type="dxa" w:w="482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THINK + Huber</w:t>
            </w:r>
          </w:p>
        </w:tc>
        <w:tc>
          <w:tcPr>
            <w:tcW w:type="dxa" w:w="122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20</w:t>
            </w:r>
          </w:p>
        </w:tc>
      </w:tr>
      <w:tr>
        <w:trPr>
          <w:cantSplit/>
        </w:trPr>
        <w:tc>
          <w:tcPr>
            <w:tcW w:type="dxa" w:w="1656"/>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NYSE top 100</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5 day</w:t>
            </w:r>
          </w:p>
        </w:tc>
        <w:tc>
          <w:tcPr>
            <w:tcW w:type="dxa" w:w="1152"/>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2022</w:t>
            </w:r>
          </w:p>
        </w:tc>
        <w:tc>
          <w:tcPr>
            <w:tcW w:type="dxa" w:w="482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THINK + weaker mixer</w:t>
            </w:r>
          </w:p>
        </w:tc>
        <w:tc>
          <w:tcPr>
            <w:tcW w:type="dxa" w:w="122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5</w:t>
            </w:r>
          </w:p>
        </w:tc>
      </w:tr>
      <w:tr>
        <w:trPr>
          <w:cantSplit/>
        </w:trPr>
        <w:tc>
          <w:tcPr>
            <w:tcW w:type="dxa" w:w="1656"/>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NYSE top 100</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5 day</w:t>
            </w:r>
          </w:p>
        </w:tc>
        <w:tc>
          <w:tcPr>
            <w:tcW w:type="dxa" w:w="1152"/>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2023</w:t>
            </w:r>
          </w:p>
        </w:tc>
        <w:tc>
          <w:tcPr>
            <w:tcW w:type="dxa" w:w="482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THINK + weaker mixer</w:t>
            </w:r>
          </w:p>
        </w:tc>
        <w:tc>
          <w:tcPr>
            <w:tcW w:type="dxa" w:w="122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5</w:t>
            </w:r>
          </w:p>
        </w:tc>
      </w:tr>
      <w:tr>
        <w:trPr>
          <w:cantSplit/>
        </w:trPr>
        <w:tc>
          <w:tcPr>
            <w:tcW w:type="dxa" w:w="1656"/>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NYSE top 100</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5 day</w:t>
            </w:r>
          </w:p>
        </w:tc>
        <w:tc>
          <w:tcPr>
            <w:tcW w:type="dxa" w:w="1152"/>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2024</w:t>
            </w:r>
          </w:p>
        </w:tc>
        <w:tc>
          <w:tcPr>
            <w:tcW w:type="dxa" w:w="482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Mixer + Huber + rank 1.0</w:t>
            </w:r>
          </w:p>
        </w:tc>
        <w:tc>
          <w:tcPr>
            <w:tcW w:type="dxa" w:w="122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5</w:t>
            </w:r>
          </w:p>
        </w:tc>
      </w:tr>
      <w:tr>
        <w:trPr>
          <w:cantSplit/>
        </w:trPr>
        <w:tc>
          <w:tcPr>
            <w:tcW w:type="dxa" w:w="1656"/>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NYSE top 100</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5 day</w:t>
            </w:r>
          </w:p>
        </w:tc>
        <w:tc>
          <w:tcPr>
            <w:tcW w:type="dxa" w:w="1152"/>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2025</w:t>
            </w:r>
          </w:p>
        </w:tc>
        <w:tc>
          <w:tcPr>
            <w:tcW w:type="dxa" w:w="482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THINK + weaker mixer</w:t>
            </w:r>
          </w:p>
        </w:tc>
        <w:tc>
          <w:tcPr>
            <w:tcW w:type="dxa" w:w="122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20</w:t>
            </w:r>
          </w:p>
        </w:tc>
      </w:tr>
    </w:tbl>
    <w:p>
      <w:pPr>
        <w:pStyle w:val="TableSpacer"/>
      </w:pPr>
    </w:p>
    <w:p>
      <w:pPr>
        <w:pStyle w:val="Heading1"/>
        <w:pageBreakBefore/>
      </w:pPr>
      <w:r>
        <w:t>NYSE top 100 five day model results</w:t>
      </w:r>
    </w:p>
    <w:p>
      <w:r>
        <w:t>Each model uses its own trading rule chosen on prior validation data. The table includes all declared five-day models, simple strategies and SPY and the relevant cohort benchmark. Rows retain the declared model order; the table does not hide unsuccessful variants.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1080"/>
        <w:gridCol w:w="1368"/>
        <w:gridCol w:w="1368"/>
        <w:gridCol w:w="2160"/>
      </w:tblGrid>
      <w:tr>
        <w:trPr>
          <w:cantSplit/>
          <w:tblHeader/>
        </w:trPr>
        <w:tc>
          <w:tcPr>
            <w:tcW w:type="dxa" w:w="3960"/>
            <w:vAlign w:val="center"/>
            <w:tcMar>
              <w:top w:w="50" w:type="dxa"/>
              <w:bottom w:w="50" w:type="dxa"/>
              <w:left w:w="95" w:type="dxa"/>
              <w:right w:w="95" w:type="dxa"/>
            </w:tcMar>
            <w:shd w:fill="333333"/>
          </w:tcPr>
          <w:p>
            <w:pPr>
              <w:spacing w:after="0" w:before="0" w:line="240" w:lineRule="auto"/>
              <w:jc w:val="left"/>
            </w:pPr>
            <w:r>
              <w:rPr>
                <w:rFonts w:ascii="Poppins" w:hAnsi="Poppins"/>
                <w:b/>
                <w:color w:val="FFFFFF"/>
                <w:sz w:val="18"/>
              </w:rPr>
              <w:t>Model or strategy</w:t>
            </w:r>
          </w:p>
        </w:tc>
        <w:tc>
          <w:tcPr>
            <w:tcW w:type="dxa" w:w="1080"/>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8"/>
              </w:rPr>
              <w:t>Net Sharpe</w:t>
            </w:r>
          </w:p>
        </w:tc>
        <w:tc>
          <w:tcPr>
            <w:tcW w:type="dxa" w:w="1368"/>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8"/>
              </w:rPr>
              <w:t>Total return</w:t>
            </w:r>
          </w:p>
        </w:tc>
        <w:tc>
          <w:tcPr>
            <w:tcW w:type="dxa" w:w="1368"/>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8"/>
              </w:rPr>
              <w:t>Worst fall</w:t>
            </w:r>
          </w:p>
        </w:tc>
        <w:tc>
          <w:tcPr>
            <w:tcW w:type="dxa" w:w="2160"/>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8"/>
              </w:rPr>
              <w:t>95% Sharpe gain vs SPY</w:t>
            </w:r>
          </w:p>
        </w:tc>
      </w:tr>
      <w:tr>
        <w:trPr>
          <w:cantSplit/>
        </w:trPr>
        <w:tc>
          <w:tcPr>
            <w:tcW w:type="dxa" w:w="396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THINK</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0.95</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119.9%</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-22.7%</w:t>
            </w:r>
          </w:p>
        </w:tc>
        <w:tc>
          <w:tcPr>
            <w:tcW w:type="dxa" w:w="216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-0.18 to 0.82</w:t>
            </w:r>
          </w:p>
        </w:tc>
      </w:tr>
      <w:tr>
        <w:trPr>
          <w:cantSplit/>
        </w:trPr>
        <w:tc>
          <w:tcPr>
            <w:tcW w:type="dxa" w:w="396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THINK with ranking</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1.00</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121.1%</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-17.4%</w:t>
            </w:r>
          </w:p>
        </w:tc>
        <w:tc>
          <w:tcPr>
            <w:tcW w:type="dxa" w:w="216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-0.10 to 0.86</w:t>
            </w:r>
          </w:p>
        </w:tc>
      </w:tr>
      <w:tr>
        <w:trPr>
          <w:cantSplit/>
        </w:trPr>
        <w:tc>
          <w:tcPr>
            <w:tcW w:type="dxa" w:w="396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THINK with input gate</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0.71</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79.9%</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-21.7%</w:t>
            </w:r>
          </w:p>
        </w:tc>
        <w:tc>
          <w:tcPr>
            <w:tcW w:type="dxa" w:w="216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-0.34 to 0.46</w:t>
            </w:r>
          </w:p>
        </w:tc>
      </w:tr>
      <w:tr>
        <w:trPr>
          <w:cantSplit/>
        </w:trPr>
        <w:tc>
          <w:tcPr>
            <w:tcW w:type="dxa" w:w="396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THINK + mixer</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0.40</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42.0%</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-24.5%</w:t>
            </w:r>
          </w:p>
        </w:tc>
        <w:tc>
          <w:tcPr>
            <w:tcW w:type="dxa" w:w="216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-0.81 to 0.35</w:t>
            </w:r>
          </w:p>
        </w:tc>
      </w:tr>
      <w:tr>
        <w:trPr>
          <w:cantSplit/>
        </w:trPr>
        <w:tc>
          <w:tcPr>
            <w:tcW w:type="dxa" w:w="396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THINK with risk output</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0.99</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138.8%</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-23.8%</w:t>
            </w:r>
          </w:p>
        </w:tc>
        <w:tc>
          <w:tcPr>
            <w:tcW w:type="dxa" w:w="216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-0.16 to 0.85</w:t>
            </w:r>
          </w:p>
        </w:tc>
      </w:tr>
      <w:tr>
        <w:trPr>
          <w:cantSplit/>
        </w:trPr>
        <w:tc>
          <w:tcPr>
            <w:tcW w:type="dxa" w:w="396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Simple neural network</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1.03</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153.2%</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-21.1%</w:t>
            </w:r>
          </w:p>
        </w:tc>
        <w:tc>
          <w:tcPr>
            <w:tcW w:type="dxa" w:w="216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-0.15 to 0.94</w:t>
            </w:r>
          </w:p>
        </w:tc>
      </w:tr>
      <w:tr>
        <w:trPr>
          <w:cantSplit/>
        </w:trPr>
        <w:tc>
          <w:tcPr>
            <w:tcW w:type="dxa" w:w="396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Sequence neural network</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0.74</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94.3%</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-23.6%</w:t>
            </w:r>
          </w:p>
        </w:tc>
        <w:tc>
          <w:tcPr>
            <w:tcW w:type="dxa" w:w="216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-0.41 to 0.62</w:t>
            </w:r>
          </w:p>
        </w:tc>
      </w:tr>
      <w:tr>
        <w:trPr>
          <w:cantSplit/>
        </w:trPr>
        <w:tc>
          <w:tcPr>
            <w:tcW w:type="dxa" w:w="396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StockMixer variant</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0.34</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36.7%</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-23.1%</w:t>
            </w:r>
          </w:p>
        </w:tc>
        <w:tc>
          <w:tcPr>
            <w:tcW w:type="dxa" w:w="216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-0.79 to 0.20</w:t>
            </w:r>
          </w:p>
        </w:tc>
      </w:tr>
      <w:tr>
        <w:trPr>
          <w:cantSplit/>
        </w:trPr>
        <w:tc>
          <w:tcPr>
            <w:tcW w:type="dxa" w:w="396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Market transformer</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0.93</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118.9%</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-14.7%</w:t>
            </w:r>
          </w:p>
        </w:tc>
        <w:tc>
          <w:tcPr>
            <w:tcW w:type="dxa" w:w="216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-0.25 to 0.79</w:t>
            </w:r>
          </w:p>
        </w:tc>
      </w:tr>
      <w:tr>
        <w:trPr>
          <w:cantSplit/>
        </w:trPr>
        <w:tc>
          <w:tcPr>
            <w:tcW w:type="dxa" w:w="396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THINK + Huber</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0.66</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74.3%</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-24.4%</w:t>
            </w:r>
          </w:p>
        </w:tc>
        <w:tc>
          <w:tcPr>
            <w:tcW w:type="dxa" w:w="216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-0.47 to 0.64</w:t>
            </w:r>
          </w:p>
        </w:tc>
      </w:tr>
      <w:tr>
        <w:trPr>
          <w:cantSplit/>
        </w:trPr>
        <w:tc>
          <w:tcPr>
            <w:tcW w:type="dxa" w:w="396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THINK + mixer + Huber</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0.16</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16.9%</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-28.0%</w:t>
            </w:r>
          </w:p>
        </w:tc>
        <w:tc>
          <w:tcPr>
            <w:tcW w:type="dxa" w:w="216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-1.10 to 0.10</w:t>
            </w:r>
          </w:p>
        </w:tc>
      </w:tr>
      <w:tr>
        <w:trPr>
          <w:cantSplit/>
        </w:trPr>
        <w:tc>
          <w:tcPr>
            <w:tcW w:type="dxa" w:w="396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StockMixer + Huber</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0.38</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41.7%</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-27.9%</w:t>
            </w:r>
          </w:p>
        </w:tc>
        <w:tc>
          <w:tcPr>
            <w:tcW w:type="dxa" w:w="216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-0.83 to 0.29</w:t>
            </w:r>
          </w:p>
        </w:tc>
      </w:tr>
      <w:tr>
        <w:trPr>
          <w:cantSplit/>
        </w:trPr>
        <w:tc>
          <w:tcPr>
            <w:tcW w:type="dxa" w:w="396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THINK + weaker mixer</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0.66</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82.0%</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-25.7%</w:t>
            </w:r>
          </w:p>
        </w:tc>
        <w:tc>
          <w:tcPr>
            <w:tcW w:type="dxa" w:w="216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-0.48 to 0.53</w:t>
            </w:r>
          </w:p>
        </w:tc>
      </w:tr>
      <w:tr>
        <w:trPr>
          <w:cantSplit/>
        </w:trPr>
        <w:tc>
          <w:tcPr>
            <w:tcW w:type="dxa" w:w="396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THINK + weaker mixer + Huber</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0.45</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49.0%</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-25.7%</w:t>
            </w:r>
          </w:p>
        </w:tc>
        <w:tc>
          <w:tcPr>
            <w:tcW w:type="dxa" w:w="216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-0.81 to 0.40</w:t>
            </w:r>
          </w:p>
        </w:tc>
      </w:tr>
      <w:tr>
        <w:trPr>
          <w:cantSplit/>
        </w:trPr>
        <w:tc>
          <w:tcPr>
            <w:tcW w:type="dxa" w:w="396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Multi scale mixer</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0.89</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122.2%</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-25.5%</w:t>
            </w:r>
          </w:p>
        </w:tc>
        <w:tc>
          <w:tcPr>
            <w:tcW w:type="dxa" w:w="216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-0.28 to 0.78</w:t>
            </w:r>
          </w:p>
        </w:tc>
      </w:tr>
      <w:tr>
        <w:trPr>
          <w:cantSplit/>
        </w:trPr>
        <w:tc>
          <w:tcPr>
            <w:tcW w:type="dxa" w:w="396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Multi scale mixer + Huber</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0.35</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37.1%</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-23.5%</w:t>
            </w:r>
          </w:p>
        </w:tc>
        <w:tc>
          <w:tcPr>
            <w:tcW w:type="dxa" w:w="216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-0.82 to 0.27</w:t>
            </w:r>
          </w:p>
        </w:tc>
      </w:tr>
      <w:tr>
        <w:trPr>
          <w:cantSplit/>
        </w:trPr>
        <w:tc>
          <w:tcPr>
            <w:tcW w:type="dxa" w:w="396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Mixer + Huber + rank 0.1</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-0.06</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-2.5%</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-32.1%</w:t>
            </w:r>
          </w:p>
        </w:tc>
        <w:tc>
          <w:tcPr>
            <w:tcW w:type="dxa" w:w="216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-1.34 to -0.09</w:t>
            </w:r>
          </w:p>
        </w:tc>
      </w:tr>
      <w:tr>
        <w:trPr>
          <w:cantSplit/>
        </w:trPr>
        <w:tc>
          <w:tcPr>
            <w:tcW w:type="dxa" w:w="396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Mixer + Huber + rank 0.3</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0.02</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3.2%</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-33.0%</w:t>
            </w:r>
          </w:p>
        </w:tc>
        <w:tc>
          <w:tcPr>
            <w:tcW w:type="dxa" w:w="216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-1.27 to 0.06</w:t>
            </w:r>
          </w:p>
        </w:tc>
      </w:tr>
      <w:tr>
        <w:trPr>
          <w:cantSplit/>
        </w:trPr>
        <w:tc>
          <w:tcPr>
            <w:tcW w:type="dxa" w:w="396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Mixer + Huber + rank 1.0</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0.19</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20.0%</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-30.1%</w:t>
            </w:r>
          </w:p>
        </w:tc>
        <w:tc>
          <w:tcPr>
            <w:tcW w:type="dxa" w:w="216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-1.04 to 0.10</w:t>
            </w:r>
          </w:p>
        </w:tc>
      </w:tr>
      <w:tr>
        <w:trPr>
          <w:cantSplit/>
        </w:trPr>
        <w:tc>
          <w:tcPr>
            <w:tcW w:type="dxa" w:w="396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Linear prediction model</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1.14</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168.8%</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-22.8%</w:t>
            </w:r>
          </w:p>
        </w:tc>
        <w:tc>
          <w:tcPr>
            <w:tcW w:type="dxa" w:w="216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-0.13 to 1.08</w:t>
            </w:r>
          </w:p>
        </w:tc>
      </w:tr>
      <w:tr>
        <w:trPr>
          <w:cantSplit/>
        </w:trPr>
        <w:tc>
          <w:tcPr>
            <w:tcW w:type="dxa" w:w="396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Buy recent winners</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0.85</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93.0%</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-19.6%</w:t>
            </w:r>
          </w:p>
        </w:tc>
        <w:tc>
          <w:tcPr>
            <w:tcW w:type="dxa" w:w="216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-0.42 to 0.83</w:t>
            </w:r>
          </w:p>
        </w:tc>
      </w:tr>
      <w:tr>
        <w:trPr>
          <w:cantSplit/>
        </w:trPr>
        <w:tc>
          <w:tcPr>
            <w:tcW w:type="dxa" w:w="396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Buy recent losers</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0.71</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84.6%</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-23.0%</w:t>
            </w:r>
          </w:p>
        </w:tc>
        <w:tc>
          <w:tcPr>
            <w:tcW w:type="dxa" w:w="216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-0.52 to 0.62</w:t>
            </w:r>
          </w:p>
        </w:tc>
      </w:tr>
      <w:tr>
        <w:trPr>
          <w:cantSplit/>
        </w:trPr>
        <w:tc>
          <w:tcPr>
            <w:tcW w:type="dxa" w:w="396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Buy and hold the group</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0.98</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91.7%</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-18.3%</w:t>
            </w:r>
          </w:p>
        </w:tc>
        <w:tc>
          <w:tcPr>
            <w:tcW w:type="dxa" w:w="216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-0.09 to 0.80</w:t>
            </w:r>
          </w:p>
        </w:tc>
      </w:tr>
      <w:tr>
        <w:trPr>
          <w:cantSplit/>
        </w:trPr>
        <w:tc>
          <w:tcPr>
            <w:tcW w:type="dxa" w:w="396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NYSE basket (passive)</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0.97</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93.7%</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-17.8%</w:t>
            </w:r>
          </w:p>
        </w:tc>
        <w:tc>
          <w:tcPr>
            <w:tcW w:type="dxa" w:w="216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-0.07 to 0.79</w:t>
            </w:r>
          </w:p>
        </w:tc>
      </w:tr>
      <w:tr>
        <w:trPr>
          <w:cantSplit/>
        </w:trPr>
        <w:tc>
          <w:tcPr>
            <w:tcW w:type="dxa" w:w="396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SPY</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0.62</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62.7%</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-23.4%</w:t>
            </w:r>
          </w:p>
        </w:tc>
        <w:tc>
          <w:tcPr>
            <w:tcW w:type="dxa" w:w="216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0.00 to 0.00</w:t>
            </w:r>
          </w:p>
        </w:tc>
      </w:tr>
    </w:tbl>
    <w:p>
      <w:pPr>
        <w:pStyle w:val="TableSpacer"/>
      </w:pPr>
    </w:p>
    <w:p>
      <w:pPr>
        <w:pStyle w:val="Caption"/>
      </w:pPr>
      <w:r>
        <w:t>Neural models are local adaptations. See the method section for definitions.</w:t>
      </w:r>
    </w:p>
    <w:p>
      <w:pPr>
        <w:pStyle w:val="Heading1"/>
        <w:pageBreakBefore/>
      </w:pPr>
      <w:r>
        <w:t>NASDAQ 100 five day model results</w:t>
      </w:r>
    </w:p>
    <w:p>
      <w:r>
        <w:t>Each model uses its own trading rule chosen on prior validation data. The table includes all declared five-day models, simple strategies and SPY and the relevant cohort benchmark. Rows retain the declared model order; the table does not hide unsuccessful variants.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1080"/>
        <w:gridCol w:w="1368"/>
        <w:gridCol w:w="1368"/>
        <w:gridCol w:w="2160"/>
      </w:tblGrid>
      <w:tr>
        <w:trPr>
          <w:cantSplit/>
          <w:tblHeader/>
        </w:trPr>
        <w:tc>
          <w:tcPr>
            <w:tcW w:type="dxa" w:w="3960"/>
            <w:vAlign w:val="center"/>
            <w:tcMar>
              <w:top w:w="50" w:type="dxa"/>
              <w:bottom w:w="50" w:type="dxa"/>
              <w:left w:w="95" w:type="dxa"/>
              <w:right w:w="95" w:type="dxa"/>
            </w:tcMar>
            <w:shd w:fill="333333"/>
          </w:tcPr>
          <w:p>
            <w:pPr>
              <w:spacing w:after="0" w:before="0" w:line="240" w:lineRule="auto"/>
              <w:jc w:val="left"/>
            </w:pPr>
            <w:r>
              <w:rPr>
                <w:rFonts w:ascii="Poppins" w:hAnsi="Poppins"/>
                <w:b/>
                <w:color w:val="FFFFFF"/>
                <w:sz w:val="18"/>
              </w:rPr>
              <w:t>Model or strategy</w:t>
            </w:r>
          </w:p>
        </w:tc>
        <w:tc>
          <w:tcPr>
            <w:tcW w:type="dxa" w:w="1080"/>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8"/>
              </w:rPr>
              <w:t>Net Sharpe</w:t>
            </w:r>
          </w:p>
        </w:tc>
        <w:tc>
          <w:tcPr>
            <w:tcW w:type="dxa" w:w="1368"/>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8"/>
              </w:rPr>
              <w:t>Total return</w:t>
            </w:r>
          </w:p>
        </w:tc>
        <w:tc>
          <w:tcPr>
            <w:tcW w:type="dxa" w:w="1368"/>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8"/>
              </w:rPr>
              <w:t>Worst fall</w:t>
            </w:r>
          </w:p>
        </w:tc>
        <w:tc>
          <w:tcPr>
            <w:tcW w:type="dxa" w:w="2160"/>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8"/>
              </w:rPr>
              <w:t>95% Sharpe gain vs SPY</w:t>
            </w:r>
          </w:p>
        </w:tc>
      </w:tr>
      <w:tr>
        <w:trPr>
          <w:cantSplit/>
        </w:trPr>
        <w:tc>
          <w:tcPr>
            <w:tcW w:type="dxa" w:w="396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THINK</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0.77</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137.1%</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-29.8%</w:t>
            </w:r>
          </w:p>
        </w:tc>
        <w:tc>
          <w:tcPr>
            <w:tcW w:type="dxa" w:w="216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-0.33 to 0.57</w:t>
            </w:r>
          </w:p>
        </w:tc>
      </w:tr>
      <w:tr>
        <w:trPr>
          <w:cantSplit/>
        </w:trPr>
        <w:tc>
          <w:tcPr>
            <w:tcW w:type="dxa" w:w="396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THINK with ranking</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0.75</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130.9%</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-29.4%</w:t>
            </w:r>
          </w:p>
        </w:tc>
        <w:tc>
          <w:tcPr>
            <w:tcW w:type="dxa" w:w="216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-0.33 to 0.59</w:t>
            </w:r>
          </w:p>
        </w:tc>
      </w:tr>
      <w:tr>
        <w:trPr>
          <w:cantSplit/>
        </w:trPr>
        <w:tc>
          <w:tcPr>
            <w:tcW w:type="dxa" w:w="396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THINK with input gate</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0.72</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124.9%</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-31.9%</w:t>
            </w:r>
          </w:p>
        </w:tc>
        <w:tc>
          <w:tcPr>
            <w:tcW w:type="dxa" w:w="216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-0.39 to 0.56</w:t>
            </w:r>
          </w:p>
        </w:tc>
      </w:tr>
      <w:tr>
        <w:trPr>
          <w:cantSplit/>
        </w:trPr>
        <w:tc>
          <w:tcPr>
            <w:tcW w:type="dxa" w:w="396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THINK + mixer</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0.51</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76.7%</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-41.0%</w:t>
            </w:r>
          </w:p>
        </w:tc>
        <w:tc>
          <w:tcPr>
            <w:tcW w:type="dxa" w:w="216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-0.59 to 0.34</w:t>
            </w:r>
          </w:p>
        </w:tc>
      </w:tr>
      <w:tr>
        <w:trPr>
          <w:cantSplit/>
        </w:trPr>
        <w:tc>
          <w:tcPr>
            <w:tcW w:type="dxa" w:w="396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THINK with risk output</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0.69</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117.3%</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-33.1%</w:t>
            </w:r>
          </w:p>
        </w:tc>
        <w:tc>
          <w:tcPr>
            <w:tcW w:type="dxa" w:w="216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-0.38 to 0.49</w:t>
            </w:r>
          </w:p>
        </w:tc>
      </w:tr>
      <w:tr>
        <w:trPr>
          <w:cantSplit/>
        </w:trPr>
        <w:tc>
          <w:tcPr>
            <w:tcW w:type="dxa" w:w="396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Simple neural network</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0.71</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140.2%</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-37.2%</w:t>
            </w:r>
          </w:p>
        </w:tc>
        <w:tc>
          <w:tcPr>
            <w:tcW w:type="dxa" w:w="216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-0.41 to 0.55</w:t>
            </w:r>
          </w:p>
        </w:tc>
      </w:tr>
      <w:tr>
        <w:trPr>
          <w:cantSplit/>
        </w:trPr>
        <w:tc>
          <w:tcPr>
            <w:tcW w:type="dxa" w:w="396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Sequence neural network</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0.38</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48.2%</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-31.9%</w:t>
            </w:r>
          </w:p>
        </w:tc>
        <w:tc>
          <w:tcPr>
            <w:tcW w:type="dxa" w:w="216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-0.66 to 0.15</w:t>
            </w:r>
          </w:p>
        </w:tc>
      </w:tr>
      <w:tr>
        <w:trPr>
          <w:cantSplit/>
        </w:trPr>
        <w:tc>
          <w:tcPr>
            <w:tcW w:type="dxa" w:w="396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StockMixer variant</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0.48</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61.9%</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-28.6%</w:t>
            </w:r>
          </w:p>
        </w:tc>
        <w:tc>
          <w:tcPr>
            <w:tcW w:type="dxa" w:w="216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-0.62 to 0.33</w:t>
            </w:r>
          </w:p>
        </w:tc>
      </w:tr>
      <w:tr>
        <w:trPr>
          <w:cantSplit/>
        </w:trPr>
        <w:tc>
          <w:tcPr>
            <w:tcW w:type="dxa" w:w="396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Market transformer</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0.62</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78.8%</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-27.8%</w:t>
            </w:r>
          </w:p>
        </w:tc>
        <w:tc>
          <w:tcPr>
            <w:tcW w:type="dxa" w:w="216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-0.49 to 0.45</w:t>
            </w:r>
          </w:p>
        </w:tc>
      </w:tr>
      <w:tr>
        <w:trPr>
          <w:cantSplit/>
        </w:trPr>
        <w:tc>
          <w:tcPr>
            <w:tcW w:type="dxa" w:w="396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THINK + Huber</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0.65</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113.1%</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-39.6%</w:t>
            </w:r>
          </w:p>
        </w:tc>
        <w:tc>
          <w:tcPr>
            <w:tcW w:type="dxa" w:w="216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-0.45 to 0.55</w:t>
            </w:r>
          </w:p>
        </w:tc>
      </w:tr>
      <w:tr>
        <w:trPr>
          <w:cantSplit/>
        </w:trPr>
        <w:tc>
          <w:tcPr>
            <w:tcW w:type="dxa" w:w="396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THINK + mixer + Huber</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0.85</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145.0%</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-29.5%</w:t>
            </w:r>
          </w:p>
        </w:tc>
        <w:tc>
          <w:tcPr>
            <w:tcW w:type="dxa" w:w="216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-0.16 to 0.70</w:t>
            </w:r>
          </w:p>
        </w:tc>
      </w:tr>
      <w:tr>
        <w:trPr>
          <w:cantSplit/>
        </w:trPr>
        <w:tc>
          <w:tcPr>
            <w:tcW w:type="dxa" w:w="396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StockMixer + Huber</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0.71</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116.1%</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-33.5%</w:t>
            </w:r>
          </w:p>
        </w:tc>
        <w:tc>
          <w:tcPr>
            <w:tcW w:type="dxa" w:w="216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-0.53 to 0.71</w:t>
            </w:r>
          </w:p>
        </w:tc>
      </w:tr>
      <w:tr>
        <w:trPr>
          <w:cantSplit/>
        </w:trPr>
        <w:tc>
          <w:tcPr>
            <w:tcW w:type="dxa" w:w="396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THINK + weaker mixer</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0.26</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27.1%</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-42.7%</w:t>
            </w:r>
          </w:p>
        </w:tc>
        <w:tc>
          <w:tcPr>
            <w:tcW w:type="dxa" w:w="216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-0.81 to 0.08</w:t>
            </w:r>
          </w:p>
        </w:tc>
      </w:tr>
      <w:tr>
        <w:trPr>
          <w:cantSplit/>
        </w:trPr>
        <w:tc>
          <w:tcPr>
            <w:tcW w:type="dxa" w:w="396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THINK + weaker mixer + Huber</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0.82</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134.7%</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-30.6%</w:t>
            </w:r>
          </w:p>
        </w:tc>
        <w:tc>
          <w:tcPr>
            <w:tcW w:type="dxa" w:w="216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-0.19 to 0.61</w:t>
            </w:r>
          </w:p>
        </w:tc>
      </w:tr>
      <w:tr>
        <w:trPr>
          <w:cantSplit/>
        </w:trPr>
        <w:tc>
          <w:tcPr>
            <w:tcW w:type="dxa" w:w="396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Multi scale mixer</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0.48</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61.6%</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-30.4%</w:t>
            </w:r>
          </w:p>
        </w:tc>
        <w:tc>
          <w:tcPr>
            <w:tcW w:type="dxa" w:w="216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-0.61 to 0.28</w:t>
            </w:r>
          </w:p>
        </w:tc>
      </w:tr>
      <w:tr>
        <w:trPr>
          <w:cantSplit/>
        </w:trPr>
        <w:tc>
          <w:tcPr>
            <w:tcW w:type="dxa" w:w="396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Multi scale mixer + Huber</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0.90</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171.8%</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-35.7%</w:t>
            </w:r>
          </w:p>
        </w:tc>
        <w:tc>
          <w:tcPr>
            <w:tcW w:type="dxa" w:w="216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-0.30 to 0.88</w:t>
            </w:r>
          </w:p>
        </w:tc>
      </w:tr>
      <w:tr>
        <w:trPr>
          <w:cantSplit/>
        </w:trPr>
        <w:tc>
          <w:tcPr>
            <w:tcW w:type="dxa" w:w="396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Mixer + Huber + rank 0.1</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0.84</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140.8%</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-29.2%</w:t>
            </w:r>
          </w:p>
        </w:tc>
        <w:tc>
          <w:tcPr>
            <w:tcW w:type="dxa" w:w="216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-0.17 to 0.66</w:t>
            </w:r>
          </w:p>
        </w:tc>
      </w:tr>
      <w:tr>
        <w:trPr>
          <w:cantSplit/>
        </w:trPr>
        <w:tc>
          <w:tcPr>
            <w:tcW w:type="dxa" w:w="396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Mixer + Huber + rank 0.3</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0.89</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164.6%</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-30.0%</w:t>
            </w:r>
          </w:p>
        </w:tc>
        <w:tc>
          <w:tcPr>
            <w:tcW w:type="dxa" w:w="216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-0.24 to 0.75</w:t>
            </w:r>
          </w:p>
        </w:tc>
      </w:tr>
      <w:tr>
        <w:trPr>
          <w:cantSplit/>
        </w:trPr>
        <w:tc>
          <w:tcPr>
            <w:tcW w:type="dxa" w:w="396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Mixer + Huber + rank 1.0</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0.88</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169.1%</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-31.5%</w:t>
            </w:r>
          </w:p>
        </w:tc>
        <w:tc>
          <w:tcPr>
            <w:tcW w:type="dxa" w:w="216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-0.23 to 0.73</w:t>
            </w:r>
          </w:p>
        </w:tc>
      </w:tr>
      <w:tr>
        <w:trPr>
          <w:cantSplit/>
        </w:trPr>
        <w:tc>
          <w:tcPr>
            <w:tcW w:type="dxa" w:w="396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Linear prediction model</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1.06</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277.8%</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-30.9%</w:t>
            </w:r>
          </w:p>
        </w:tc>
        <w:tc>
          <w:tcPr>
            <w:tcW w:type="dxa" w:w="216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-0.18 to 1.05</w:t>
            </w:r>
          </w:p>
        </w:tc>
      </w:tr>
      <w:tr>
        <w:trPr>
          <w:cantSplit/>
        </w:trPr>
        <w:tc>
          <w:tcPr>
            <w:tcW w:type="dxa" w:w="396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Buy recent winners</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1.59</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994.2%</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-39.7%</w:t>
            </w:r>
          </w:p>
        </w:tc>
        <w:tc>
          <w:tcPr>
            <w:tcW w:type="dxa" w:w="216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0.18 to 1.79</w:t>
            </w:r>
          </w:p>
        </w:tc>
      </w:tr>
      <w:tr>
        <w:trPr>
          <w:cantSplit/>
        </w:trPr>
        <w:tc>
          <w:tcPr>
            <w:tcW w:type="dxa" w:w="396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Buy recent losers</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0.62</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99.1%</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-34.1%</w:t>
            </w:r>
          </w:p>
        </w:tc>
        <w:tc>
          <w:tcPr>
            <w:tcW w:type="dxa" w:w="216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-0.43 to 0.48</w:t>
            </w:r>
          </w:p>
        </w:tc>
      </w:tr>
      <w:tr>
        <w:trPr>
          <w:cantSplit/>
        </w:trPr>
        <w:tc>
          <w:tcPr>
            <w:tcW w:type="dxa" w:w="396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Buy and hold the group</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0.95</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136.4%</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-28.0%</w:t>
            </w:r>
          </w:p>
        </w:tc>
        <w:tc>
          <w:tcPr>
            <w:tcW w:type="dxa" w:w="216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0.05 to 0.62</w:t>
            </w:r>
          </w:p>
        </w:tc>
      </w:tr>
      <w:tr>
        <w:trPr>
          <w:cantSplit/>
        </w:trPr>
        <w:tc>
          <w:tcPr>
            <w:tcW w:type="dxa" w:w="396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Rebalance the full group</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0.85</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117.5%</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-27.5%</w:t>
            </w:r>
          </w:p>
        </w:tc>
        <w:tc>
          <w:tcPr>
            <w:tcW w:type="dxa" w:w="216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-0.00 to 0.43</w:t>
            </w:r>
          </w:p>
        </w:tc>
      </w:tr>
      <w:tr>
        <w:trPr>
          <w:cantSplit/>
        </w:trPr>
        <w:tc>
          <w:tcPr>
            <w:tcW w:type="dxa" w:w="396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SPY</w:t>
            </w:r>
          </w:p>
        </w:tc>
        <w:tc>
          <w:tcPr>
            <w:tcW w:type="dxa" w:w="108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0.62</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62.7%</w:t>
            </w:r>
          </w:p>
        </w:tc>
        <w:tc>
          <w:tcPr>
            <w:tcW w:type="dxa" w:w="1368"/>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-23.4%</w:t>
            </w:r>
          </w:p>
        </w:tc>
        <w:tc>
          <w:tcPr>
            <w:tcW w:type="dxa" w:w="216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0.00 to 0.00</w:t>
            </w:r>
          </w:p>
        </w:tc>
      </w:tr>
      <w:tr>
        <w:trPr>
          <w:cantSplit/>
        </w:trPr>
        <w:tc>
          <w:tcPr>
            <w:tcW w:type="dxa" w:w="396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QQQ</w:t>
            </w:r>
          </w:p>
        </w:tc>
        <w:tc>
          <w:tcPr>
            <w:tcW w:type="dxa" w:w="108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0.63</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78.8%</w:t>
            </w:r>
          </w:p>
        </w:tc>
        <w:tc>
          <w:tcPr>
            <w:tcW w:type="dxa" w:w="1368"/>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-32.4%</w:t>
            </w:r>
          </w:p>
        </w:tc>
        <w:tc>
          <w:tcPr>
            <w:tcW w:type="dxa" w:w="216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-0.27 to 0.29</w:t>
            </w:r>
          </w:p>
        </w:tc>
      </w:tr>
    </w:tbl>
    <w:p>
      <w:pPr>
        <w:pStyle w:val="TableSpacer"/>
      </w:pPr>
    </w:p>
    <w:p>
      <w:pPr>
        <w:pStyle w:val="Caption"/>
      </w:pPr>
      <w:r>
        <w:t>Neural models are local adaptations. See the method section for definitions.</w:t>
      </w:r>
    </w:p>
    <w:p>
      <w:pPr>
        <w:pStyle w:val="Heading1"/>
        <w:pageBreakBefore/>
      </w:pPr>
      <w:r>
        <w:t>One day model results</w:t>
      </w:r>
    </w:p>
    <w:p>
      <w:r>
        <w:t>One-day forecasts use the same input features, three training seeds and prior-validation selection rules. Daily models use a larger training batch, so this comparison changes both horizon and batch size. Frequent transactions can also consume more of a small forecasting advantage.</w:t>
      </w:r>
    </w:p>
    <w:p>
      <w:pPr>
        <w:pStyle w:val="Heading2"/>
      </w:pPr>
      <w:r>
        <w:t>NYSE top 100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1512"/>
        <w:gridCol w:w="1800"/>
        <w:gridCol w:w="1800"/>
      </w:tblGrid>
      <w:tr>
        <w:trPr>
          <w:cantSplit/>
          <w:tblHeader/>
        </w:trPr>
        <w:tc>
          <w:tcPr>
            <w:tcW w:type="dxa" w:w="4824"/>
            <w:vAlign w:val="center"/>
            <w:tcMar>
              <w:top w:w="50" w:type="dxa"/>
              <w:bottom w:w="50" w:type="dxa"/>
              <w:left w:w="95" w:type="dxa"/>
              <w:right w:w="95" w:type="dxa"/>
            </w:tcMar>
            <w:shd w:fill="333333"/>
          </w:tcPr>
          <w:p>
            <w:pPr>
              <w:spacing w:after="0" w:before="0" w:line="240" w:lineRule="auto"/>
              <w:jc w:val="left"/>
            </w:pPr>
            <w:r>
              <w:rPr>
                <w:rFonts w:ascii="Poppins" w:hAnsi="Poppins"/>
                <w:b/>
                <w:color w:val="FFFFFF"/>
                <w:sz w:val="18"/>
              </w:rPr>
              <w:t>Model or strategy</w:t>
            </w:r>
          </w:p>
        </w:tc>
        <w:tc>
          <w:tcPr>
            <w:tcW w:type="dxa" w:w="1512"/>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8"/>
              </w:rPr>
              <w:t>Net Sharpe</w:t>
            </w:r>
          </w:p>
        </w:tc>
        <w:tc>
          <w:tcPr>
            <w:tcW w:type="dxa" w:w="1800"/>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8"/>
              </w:rPr>
              <w:t>Total return</w:t>
            </w:r>
          </w:p>
        </w:tc>
        <w:tc>
          <w:tcPr>
            <w:tcW w:type="dxa" w:w="1800"/>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8"/>
              </w:rPr>
              <w:t>Worst fall</w:t>
            </w:r>
          </w:p>
        </w:tc>
      </w:tr>
      <w:tr>
        <w:trPr>
          <w:cantSplit/>
        </w:trPr>
        <w:tc>
          <w:tcPr>
            <w:tcW w:type="dxa" w:w="4824"/>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THINK</w:t>
            </w:r>
          </w:p>
        </w:tc>
        <w:tc>
          <w:tcPr>
            <w:tcW w:type="dxa" w:w="1512"/>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-0.40</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-21.3%</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-38.7%</w:t>
            </w:r>
          </w:p>
        </w:tc>
      </w:tr>
      <w:tr>
        <w:trPr>
          <w:cantSplit/>
        </w:trPr>
        <w:tc>
          <w:tcPr>
            <w:tcW w:type="dxa" w:w="4824"/>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THINK + Huber</w:t>
            </w:r>
          </w:p>
        </w:tc>
        <w:tc>
          <w:tcPr>
            <w:tcW w:type="dxa" w:w="1512"/>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0.09</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12.5%</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-30.8%</w:t>
            </w:r>
          </w:p>
        </w:tc>
      </w:tr>
      <w:tr>
        <w:trPr>
          <w:cantSplit/>
        </w:trPr>
        <w:tc>
          <w:tcPr>
            <w:tcW w:type="dxa" w:w="4824"/>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THINK + mixer</w:t>
            </w:r>
          </w:p>
        </w:tc>
        <w:tc>
          <w:tcPr>
            <w:tcW w:type="dxa" w:w="1512"/>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0.24</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26.0%</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-28.0%</w:t>
            </w:r>
          </w:p>
        </w:tc>
      </w:tr>
      <w:tr>
        <w:trPr>
          <w:cantSplit/>
        </w:trPr>
        <w:tc>
          <w:tcPr>
            <w:tcW w:type="dxa" w:w="4824"/>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THINK + mixer + Huber</w:t>
            </w:r>
          </w:p>
        </w:tc>
        <w:tc>
          <w:tcPr>
            <w:tcW w:type="dxa" w:w="1512"/>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0.09</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11.4%</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-26.6%</w:t>
            </w:r>
          </w:p>
        </w:tc>
      </w:tr>
      <w:tr>
        <w:trPr>
          <w:cantSplit/>
        </w:trPr>
        <w:tc>
          <w:tcPr>
            <w:tcW w:type="dxa" w:w="4824"/>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StockMixer variant</w:t>
            </w:r>
          </w:p>
        </w:tc>
        <w:tc>
          <w:tcPr>
            <w:tcW w:type="dxa" w:w="1512"/>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0.34</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38.7%</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-30.2%</w:t>
            </w:r>
          </w:p>
        </w:tc>
      </w:tr>
      <w:tr>
        <w:trPr>
          <w:cantSplit/>
        </w:trPr>
        <w:tc>
          <w:tcPr>
            <w:tcW w:type="dxa" w:w="4824"/>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StockMixer + Huber</w:t>
            </w:r>
          </w:p>
        </w:tc>
        <w:tc>
          <w:tcPr>
            <w:tcW w:type="dxa" w:w="1512"/>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0.02</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4.0%</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-28.0%</w:t>
            </w:r>
          </w:p>
        </w:tc>
      </w:tr>
      <w:tr>
        <w:trPr>
          <w:cantSplit/>
        </w:trPr>
        <w:tc>
          <w:tcPr>
            <w:tcW w:type="dxa" w:w="4824"/>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Multi scale mixer</w:t>
            </w:r>
          </w:p>
        </w:tc>
        <w:tc>
          <w:tcPr>
            <w:tcW w:type="dxa" w:w="1512"/>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0.44</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50.4%</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-26.1%</w:t>
            </w:r>
          </w:p>
        </w:tc>
      </w:tr>
      <w:tr>
        <w:trPr>
          <w:cantSplit/>
        </w:trPr>
        <w:tc>
          <w:tcPr>
            <w:tcW w:type="dxa" w:w="4824"/>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Multi scale mixer + Huber</w:t>
            </w:r>
          </w:p>
        </w:tc>
        <w:tc>
          <w:tcPr>
            <w:tcW w:type="dxa" w:w="1512"/>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-0.05</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-0.7%</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-27.5%</w:t>
            </w:r>
          </w:p>
        </w:tc>
      </w:tr>
      <w:tr>
        <w:trPr>
          <w:cantSplit/>
        </w:trPr>
        <w:tc>
          <w:tcPr>
            <w:tcW w:type="dxa" w:w="4824"/>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Linear prediction model</w:t>
            </w:r>
          </w:p>
        </w:tc>
        <w:tc>
          <w:tcPr>
            <w:tcW w:type="dxa" w:w="1512"/>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-0.57</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-35.7%</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-49.7%</w:t>
            </w:r>
          </w:p>
        </w:tc>
      </w:tr>
      <w:tr>
        <w:trPr>
          <w:cantSplit/>
        </w:trPr>
        <w:tc>
          <w:tcPr>
            <w:tcW w:type="dxa" w:w="4824"/>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Buy recent winners</w:t>
            </w:r>
          </w:p>
        </w:tc>
        <w:tc>
          <w:tcPr>
            <w:tcW w:type="dxa" w:w="1512"/>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0.86</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98.7%</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-18.7%</w:t>
            </w:r>
          </w:p>
        </w:tc>
      </w:tr>
      <w:tr>
        <w:trPr>
          <w:cantSplit/>
        </w:trPr>
        <w:tc>
          <w:tcPr>
            <w:tcW w:type="dxa" w:w="4824"/>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Buy recent losers</w:t>
            </w:r>
          </w:p>
        </w:tc>
        <w:tc>
          <w:tcPr>
            <w:tcW w:type="dxa" w:w="1512"/>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0.50</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56.6%</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-18.9%</w:t>
            </w:r>
          </w:p>
        </w:tc>
      </w:tr>
      <w:tr>
        <w:trPr>
          <w:cantSplit/>
        </w:trPr>
        <w:tc>
          <w:tcPr>
            <w:tcW w:type="dxa" w:w="4824"/>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Buy and hold the group</w:t>
            </w:r>
          </w:p>
        </w:tc>
        <w:tc>
          <w:tcPr>
            <w:tcW w:type="dxa" w:w="1512"/>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0.91</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86.4%</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-18.2%</w:t>
            </w:r>
          </w:p>
        </w:tc>
      </w:tr>
      <w:tr>
        <w:trPr>
          <w:cantSplit/>
        </w:trPr>
        <w:tc>
          <w:tcPr>
            <w:tcW w:type="dxa" w:w="4824"/>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NYSE basket (passive)</w:t>
            </w:r>
          </w:p>
        </w:tc>
        <w:tc>
          <w:tcPr>
            <w:tcW w:type="dxa" w:w="1512"/>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0.90</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87.4%</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-18.0%</w:t>
            </w:r>
          </w:p>
        </w:tc>
      </w:tr>
      <w:tr>
        <w:trPr>
          <w:cantSplit/>
        </w:trPr>
        <w:tc>
          <w:tcPr>
            <w:tcW w:type="dxa" w:w="4824"/>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SPY</w:t>
            </w:r>
          </w:p>
        </w:tc>
        <w:tc>
          <w:tcPr>
            <w:tcW w:type="dxa" w:w="1512"/>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0.50</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50.2%</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-24.5%</w:t>
            </w:r>
          </w:p>
        </w:tc>
      </w:tr>
    </w:tbl>
    <w:p>
      <w:pPr>
        <w:pStyle w:val="TableSpacer"/>
      </w:pPr>
    </w:p>
    <w:p>
      <w:pPr>
        <w:pStyle w:val="Heading1"/>
        <w:pageBreakBefore/>
      </w:pPr>
      <w:r>
        <w:t>NASDAQ 100 one day model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24"/>
        <w:gridCol w:w="1512"/>
        <w:gridCol w:w="1800"/>
        <w:gridCol w:w="1800"/>
      </w:tblGrid>
      <w:tr>
        <w:trPr>
          <w:cantSplit/>
          <w:tblHeader/>
        </w:trPr>
        <w:tc>
          <w:tcPr>
            <w:tcW w:type="dxa" w:w="4824"/>
            <w:vAlign w:val="center"/>
            <w:tcMar>
              <w:top w:w="50" w:type="dxa"/>
              <w:bottom w:w="50" w:type="dxa"/>
              <w:left w:w="95" w:type="dxa"/>
              <w:right w:w="95" w:type="dxa"/>
            </w:tcMar>
            <w:shd w:fill="333333"/>
          </w:tcPr>
          <w:p>
            <w:pPr>
              <w:spacing w:after="0" w:before="0" w:line="240" w:lineRule="auto"/>
              <w:jc w:val="left"/>
            </w:pPr>
            <w:r>
              <w:rPr>
                <w:rFonts w:ascii="Poppins" w:hAnsi="Poppins"/>
                <w:b/>
                <w:color w:val="FFFFFF"/>
                <w:sz w:val="18"/>
              </w:rPr>
              <w:t>Model or strategy</w:t>
            </w:r>
          </w:p>
        </w:tc>
        <w:tc>
          <w:tcPr>
            <w:tcW w:type="dxa" w:w="1512"/>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8"/>
              </w:rPr>
              <w:t>Net Sharpe</w:t>
            </w:r>
          </w:p>
        </w:tc>
        <w:tc>
          <w:tcPr>
            <w:tcW w:type="dxa" w:w="1800"/>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8"/>
              </w:rPr>
              <w:t>Total return</w:t>
            </w:r>
          </w:p>
        </w:tc>
        <w:tc>
          <w:tcPr>
            <w:tcW w:type="dxa" w:w="1800"/>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8"/>
              </w:rPr>
              <w:t>Worst fall</w:t>
            </w:r>
          </w:p>
        </w:tc>
      </w:tr>
      <w:tr>
        <w:trPr>
          <w:cantSplit/>
        </w:trPr>
        <w:tc>
          <w:tcPr>
            <w:tcW w:type="dxa" w:w="4824"/>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THINK</w:t>
            </w:r>
          </w:p>
        </w:tc>
        <w:tc>
          <w:tcPr>
            <w:tcW w:type="dxa" w:w="1512"/>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0.35</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42.7%</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-28.1%</w:t>
            </w:r>
          </w:p>
        </w:tc>
      </w:tr>
      <w:tr>
        <w:trPr>
          <w:cantSplit/>
        </w:trPr>
        <w:tc>
          <w:tcPr>
            <w:tcW w:type="dxa" w:w="4824"/>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THINK + Huber</w:t>
            </w:r>
          </w:p>
        </w:tc>
        <w:tc>
          <w:tcPr>
            <w:tcW w:type="dxa" w:w="1512"/>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0.16</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13.3%</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-35.1%</w:t>
            </w:r>
          </w:p>
        </w:tc>
      </w:tr>
      <w:tr>
        <w:trPr>
          <w:cantSplit/>
        </w:trPr>
        <w:tc>
          <w:tcPr>
            <w:tcW w:type="dxa" w:w="4824"/>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THINK + mixer</w:t>
            </w:r>
          </w:p>
        </w:tc>
        <w:tc>
          <w:tcPr>
            <w:tcW w:type="dxa" w:w="1512"/>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0.38</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50.1%</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-49.0%</w:t>
            </w:r>
          </w:p>
        </w:tc>
      </w:tr>
      <w:tr>
        <w:trPr>
          <w:cantSplit/>
        </w:trPr>
        <w:tc>
          <w:tcPr>
            <w:tcW w:type="dxa" w:w="4824"/>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THINK + mixer + Huber</w:t>
            </w:r>
          </w:p>
        </w:tc>
        <w:tc>
          <w:tcPr>
            <w:tcW w:type="dxa" w:w="1512"/>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0.53</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75.2%</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-37.5%</w:t>
            </w:r>
          </w:p>
        </w:tc>
      </w:tr>
      <w:tr>
        <w:trPr>
          <w:cantSplit/>
        </w:trPr>
        <w:tc>
          <w:tcPr>
            <w:tcW w:type="dxa" w:w="4824"/>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StockMixer variant</w:t>
            </w:r>
          </w:p>
        </w:tc>
        <w:tc>
          <w:tcPr>
            <w:tcW w:type="dxa" w:w="1512"/>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0.16</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11.5%</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-35.4%</w:t>
            </w:r>
          </w:p>
        </w:tc>
      </w:tr>
      <w:tr>
        <w:trPr>
          <w:cantSplit/>
        </w:trPr>
        <w:tc>
          <w:tcPr>
            <w:tcW w:type="dxa" w:w="4824"/>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StockMixer + Huber</w:t>
            </w:r>
          </w:p>
        </w:tc>
        <w:tc>
          <w:tcPr>
            <w:tcW w:type="dxa" w:w="1512"/>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0.31</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36.0%</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-27.9%</w:t>
            </w:r>
          </w:p>
        </w:tc>
      </w:tr>
      <w:tr>
        <w:trPr>
          <w:cantSplit/>
        </w:trPr>
        <w:tc>
          <w:tcPr>
            <w:tcW w:type="dxa" w:w="4824"/>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Multi scale mixer</w:t>
            </w:r>
          </w:p>
        </w:tc>
        <w:tc>
          <w:tcPr>
            <w:tcW w:type="dxa" w:w="1512"/>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0.40</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53.9%</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-40.3%</w:t>
            </w:r>
          </w:p>
        </w:tc>
      </w:tr>
      <w:tr>
        <w:trPr>
          <w:cantSplit/>
        </w:trPr>
        <w:tc>
          <w:tcPr>
            <w:tcW w:type="dxa" w:w="4824"/>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Multi scale mixer + Huber</w:t>
            </w:r>
          </w:p>
        </w:tc>
        <w:tc>
          <w:tcPr>
            <w:tcW w:type="dxa" w:w="1512"/>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0.46</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64.8%</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-39.3%</w:t>
            </w:r>
          </w:p>
        </w:tc>
      </w:tr>
      <w:tr>
        <w:trPr>
          <w:cantSplit/>
        </w:trPr>
        <w:tc>
          <w:tcPr>
            <w:tcW w:type="dxa" w:w="4824"/>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Linear prediction model</w:t>
            </w:r>
          </w:p>
        </w:tc>
        <w:tc>
          <w:tcPr>
            <w:tcW w:type="dxa" w:w="1512"/>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0.00</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-10.9%</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-47.0%</w:t>
            </w:r>
          </w:p>
        </w:tc>
      </w:tr>
      <w:tr>
        <w:trPr>
          <w:cantSplit/>
        </w:trPr>
        <w:tc>
          <w:tcPr>
            <w:tcW w:type="dxa" w:w="4824"/>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Buy recent winners</w:t>
            </w:r>
          </w:p>
        </w:tc>
        <w:tc>
          <w:tcPr>
            <w:tcW w:type="dxa" w:w="1512"/>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1.20</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482.9%</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-39.9%</w:t>
            </w:r>
          </w:p>
        </w:tc>
      </w:tr>
      <w:tr>
        <w:trPr>
          <w:cantSplit/>
        </w:trPr>
        <w:tc>
          <w:tcPr>
            <w:tcW w:type="dxa" w:w="4824"/>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Buy recent losers</w:t>
            </w:r>
          </w:p>
        </w:tc>
        <w:tc>
          <w:tcPr>
            <w:tcW w:type="dxa" w:w="1512"/>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0.67</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109.5%</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-26.7%</w:t>
            </w:r>
          </w:p>
        </w:tc>
      </w:tr>
      <w:tr>
        <w:trPr>
          <w:cantSplit/>
        </w:trPr>
        <w:tc>
          <w:tcPr>
            <w:tcW w:type="dxa" w:w="4824"/>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Buy and hold the group</w:t>
            </w:r>
          </w:p>
        </w:tc>
        <w:tc>
          <w:tcPr>
            <w:tcW w:type="dxa" w:w="1512"/>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0.83</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114.9%</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-28.8%</w:t>
            </w:r>
          </w:p>
        </w:tc>
      </w:tr>
      <w:tr>
        <w:trPr>
          <w:cantSplit/>
        </w:trPr>
        <w:tc>
          <w:tcPr>
            <w:tcW w:type="dxa" w:w="4824"/>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Rebalance the full group</w:t>
            </w:r>
          </w:p>
        </w:tc>
        <w:tc>
          <w:tcPr>
            <w:tcW w:type="dxa" w:w="1512"/>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0.73</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98.5%</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-29.0%</w:t>
            </w:r>
          </w:p>
        </w:tc>
      </w:tr>
      <w:tr>
        <w:trPr>
          <w:cantSplit/>
        </w:trPr>
        <w:tc>
          <w:tcPr>
            <w:tcW w:type="dxa" w:w="4824"/>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8"/>
              </w:rPr>
              <w:t>SPY</w:t>
            </w:r>
          </w:p>
        </w:tc>
        <w:tc>
          <w:tcPr>
            <w:tcW w:type="dxa" w:w="1512"/>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0.50</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50.2%</w:t>
            </w:r>
          </w:p>
        </w:tc>
        <w:tc>
          <w:tcPr>
            <w:tcW w:type="dxa" w:w="180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8"/>
              </w:rPr>
              <w:t>-24.5%</w:t>
            </w:r>
          </w:p>
        </w:tc>
      </w:tr>
      <w:tr>
        <w:trPr>
          <w:cantSplit/>
        </w:trPr>
        <w:tc>
          <w:tcPr>
            <w:tcW w:type="dxa" w:w="4824"/>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8"/>
              </w:rPr>
              <w:t>QQQ</w:t>
            </w:r>
          </w:p>
        </w:tc>
        <w:tc>
          <w:tcPr>
            <w:tcW w:type="dxa" w:w="1512"/>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0.50</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60.5%</w:t>
            </w:r>
          </w:p>
        </w:tc>
        <w:tc>
          <w:tcPr>
            <w:tcW w:type="dxa" w:w="180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8"/>
              </w:rPr>
              <w:t>-34.0%</w:t>
            </w:r>
          </w:p>
        </w:tc>
      </w:tr>
    </w:tbl>
    <w:p>
      <w:pPr>
        <w:pStyle w:val="TableSpacer"/>
      </w:pPr>
    </w:p>
    <w:p>
      <w:pPr>
        <w:pStyle w:val="Heading1"/>
        <w:pageBreakBefore/>
      </w:pPr>
      <w:r>
        <w:t>Comparison with the earlier company samples</w:t>
      </w:r>
    </w:p>
    <w:p>
      <w:r>
        <w:t>For the 60 shared model and group comparisons with saved results, the new company lists increased net Sharpe in 58 cases at a fixed rule of ten equally weighted stocks. The rule and test dates are held constant. The universe, data download and CPU-to-GPU training backend differ, so the changes cannot be attributed solely to better coverage.</w:t>
      </w:r>
    </w:p>
    <w:p>
      <w:r>
        <w:t>The table highlights four existing model families. It uses the same fixed ten-stock rule in both experiments. The earlier sample was selected by ticker hashes from historical research lists and had only 50–59 eligible Nasdaq securities or 56–63 eligible NYSE securities on test dates.</w:t>
      </w:r>
    </w:p>
    <w:p>
      <w:pPr>
        <w:pStyle w:val="Heading2"/>
      </w:pPr>
      <w:r>
        <w:t>One day forecasts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104"/>
        <w:gridCol w:w="1296"/>
        <w:gridCol w:w="1296"/>
        <w:gridCol w:w="1440"/>
      </w:tblGrid>
      <w:tr>
        <w:trPr>
          <w:cantSplit/>
          <w:tblHeader/>
        </w:trPr>
        <w:tc>
          <w:tcPr>
            <w:tcW w:type="dxa" w:w="1800"/>
            <w:vAlign w:val="center"/>
            <w:tcMar>
              <w:top w:w="50" w:type="dxa"/>
              <w:bottom w:w="50" w:type="dxa"/>
              <w:left w:w="95" w:type="dxa"/>
              <w:right w:w="95" w:type="dxa"/>
            </w:tcMar>
            <w:shd w:fill="333333"/>
          </w:tcPr>
          <w:p>
            <w:pPr>
              <w:spacing w:after="0" w:before="0" w:line="240" w:lineRule="auto"/>
              <w:jc w:val="left"/>
            </w:pPr>
            <w:r>
              <w:rPr>
                <w:rFonts w:ascii="Poppins" w:hAnsi="Poppins"/>
                <w:b/>
                <w:color w:val="FFFFFF"/>
                <w:sz w:val="19"/>
              </w:rPr>
              <w:t>Group</w:t>
            </w:r>
          </w:p>
        </w:tc>
        <w:tc>
          <w:tcPr>
            <w:tcW w:type="dxa" w:w="4104"/>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9"/>
              </w:rPr>
              <w:t>Model</w:t>
            </w:r>
          </w:p>
        </w:tc>
        <w:tc>
          <w:tcPr>
            <w:tcW w:type="dxa" w:w="1296"/>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9"/>
              </w:rPr>
              <w:t>Earlier Sharpe</w:t>
            </w:r>
          </w:p>
        </w:tc>
        <w:tc>
          <w:tcPr>
            <w:tcW w:type="dxa" w:w="1296"/>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9"/>
              </w:rPr>
              <w:t>New Sharpe</w:t>
            </w:r>
          </w:p>
        </w:tc>
        <w:tc>
          <w:tcPr>
            <w:tcW w:type="dxa" w:w="1440"/>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9"/>
              </w:rPr>
              <w:t>Change</w:t>
            </w:r>
          </w:p>
        </w:tc>
      </w:tr>
      <w:tr>
        <w:trPr>
          <w:cantSplit/>
        </w:trPr>
        <w:tc>
          <w:tcPr>
            <w:tcW w:type="dxa" w:w="180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9"/>
              </w:rPr>
              <w:t>NASDAQ 100</w:t>
            </w:r>
          </w:p>
        </w:tc>
        <w:tc>
          <w:tcPr>
            <w:tcW w:type="dxa" w:w="410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Multi scale mixer + Huber</w:t>
            </w:r>
          </w:p>
        </w:tc>
        <w:tc>
          <w:tcPr>
            <w:tcW w:type="dxa" w:w="129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-0.68</w:t>
            </w:r>
          </w:p>
        </w:tc>
        <w:tc>
          <w:tcPr>
            <w:tcW w:type="dxa" w:w="129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0.16</w:t>
            </w:r>
          </w:p>
        </w:tc>
        <w:tc>
          <w:tcPr>
            <w:tcW w:type="dxa" w:w="144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0.85</w:t>
            </w:r>
          </w:p>
        </w:tc>
      </w:tr>
      <w:tr>
        <w:trPr>
          <w:cantSplit/>
        </w:trPr>
        <w:tc>
          <w:tcPr>
            <w:tcW w:type="dxa" w:w="180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9"/>
              </w:rPr>
              <w:t>NASDAQ 100</w:t>
            </w:r>
          </w:p>
        </w:tc>
        <w:tc>
          <w:tcPr>
            <w:tcW w:type="dxa" w:w="410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StockMixer + Huber</w:t>
            </w:r>
          </w:p>
        </w:tc>
        <w:tc>
          <w:tcPr>
            <w:tcW w:type="dxa" w:w="129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-0.57</w:t>
            </w:r>
          </w:p>
        </w:tc>
        <w:tc>
          <w:tcPr>
            <w:tcW w:type="dxa" w:w="129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0.18</w:t>
            </w:r>
          </w:p>
        </w:tc>
        <w:tc>
          <w:tcPr>
            <w:tcW w:type="dxa" w:w="144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0.75</w:t>
            </w:r>
          </w:p>
        </w:tc>
      </w:tr>
      <w:tr>
        <w:trPr>
          <w:cantSplit/>
        </w:trPr>
        <w:tc>
          <w:tcPr>
            <w:tcW w:type="dxa" w:w="180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9"/>
              </w:rPr>
              <w:t>NASDAQ 100</w:t>
            </w:r>
          </w:p>
        </w:tc>
        <w:tc>
          <w:tcPr>
            <w:tcW w:type="dxa" w:w="410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THINK</w:t>
            </w:r>
          </w:p>
        </w:tc>
        <w:tc>
          <w:tcPr>
            <w:tcW w:type="dxa" w:w="129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-0.52</w:t>
            </w:r>
          </w:p>
        </w:tc>
        <w:tc>
          <w:tcPr>
            <w:tcW w:type="dxa" w:w="129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0.12</w:t>
            </w:r>
          </w:p>
        </w:tc>
        <w:tc>
          <w:tcPr>
            <w:tcW w:type="dxa" w:w="144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0.63</w:t>
            </w:r>
          </w:p>
        </w:tc>
      </w:tr>
      <w:tr>
        <w:trPr>
          <w:cantSplit/>
        </w:trPr>
        <w:tc>
          <w:tcPr>
            <w:tcW w:type="dxa" w:w="180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9"/>
              </w:rPr>
              <w:t>NASDAQ 100</w:t>
            </w:r>
          </w:p>
        </w:tc>
        <w:tc>
          <w:tcPr>
            <w:tcW w:type="dxa" w:w="410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THINK + mixer + Huber</w:t>
            </w:r>
          </w:p>
        </w:tc>
        <w:tc>
          <w:tcPr>
            <w:tcW w:type="dxa" w:w="129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0.10</w:t>
            </w:r>
          </w:p>
        </w:tc>
        <w:tc>
          <w:tcPr>
            <w:tcW w:type="dxa" w:w="129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0.47</w:t>
            </w:r>
          </w:p>
        </w:tc>
        <w:tc>
          <w:tcPr>
            <w:tcW w:type="dxa" w:w="144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0.37</w:t>
            </w:r>
          </w:p>
        </w:tc>
      </w:tr>
      <w:tr>
        <w:trPr>
          <w:cantSplit/>
        </w:trPr>
        <w:tc>
          <w:tcPr>
            <w:tcW w:type="dxa" w:w="180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9"/>
              </w:rPr>
              <w:t>NYSE top 100</w:t>
            </w:r>
          </w:p>
        </w:tc>
        <w:tc>
          <w:tcPr>
            <w:tcW w:type="dxa" w:w="410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Multi scale mixer + Huber</w:t>
            </w:r>
          </w:p>
        </w:tc>
        <w:tc>
          <w:tcPr>
            <w:tcW w:type="dxa" w:w="129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-0.84</w:t>
            </w:r>
          </w:p>
        </w:tc>
        <w:tc>
          <w:tcPr>
            <w:tcW w:type="dxa" w:w="129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-0.72</w:t>
            </w:r>
          </w:p>
        </w:tc>
        <w:tc>
          <w:tcPr>
            <w:tcW w:type="dxa" w:w="144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0.12</w:t>
            </w:r>
          </w:p>
        </w:tc>
      </w:tr>
      <w:tr>
        <w:trPr>
          <w:cantSplit/>
        </w:trPr>
        <w:tc>
          <w:tcPr>
            <w:tcW w:type="dxa" w:w="180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9"/>
              </w:rPr>
              <w:t>NYSE top 100</w:t>
            </w:r>
          </w:p>
        </w:tc>
        <w:tc>
          <w:tcPr>
            <w:tcW w:type="dxa" w:w="410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StockMixer + Huber</w:t>
            </w:r>
          </w:p>
        </w:tc>
        <w:tc>
          <w:tcPr>
            <w:tcW w:type="dxa" w:w="129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-0.84</w:t>
            </w:r>
          </w:p>
        </w:tc>
        <w:tc>
          <w:tcPr>
            <w:tcW w:type="dxa" w:w="129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-0.32</w:t>
            </w:r>
          </w:p>
        </w:tc>
        <w:tc>
          <w:tcPr>
            <w:tcW w:type="dxa" w:w="144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0.52</w:t>
            </w:r>
          </w:p>
        </w:tc>
      </w:tr>
      <w:tr>
        <w:trPr>
          <w:cantSplit/>
        </w:trPr>
        <w:tc>
          <w:tcPr>
            <w:tcW w:type="dxa" w:w="180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9"/>
              </w:rPr>
              <w:t>NYSE top 100</w:t>
            </w:r>
          </w:p>
        </w:tc>
        <w:tc>
          <w:tcPr>
            <w:tcW w:type="dxa" w:w="410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THINK</w:t>
            </w:r>
          </w:p>
        </w:tc>
        <w:tc>
          <w:tcPr>
            <w:tcW w:type="dxa" w:w="129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-0.62</w:t>
            </w:r>
          </w:p>
        </w:tc>
        <w:tc>
          <w:tcPr>
            <w:tcW w:type="dxa" w:w="129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-0.71</w:t>
            </w:r>
          </w:p>
        </w:tc>
        <w:tc>
          <w:tcPr>
            <w:tcW w:type="dxa" w:w="144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-0.10</w:t>
            </w:r>
          </w:p>
        </w:tc>
      </w:tr>
      <w:tr>
        <w:trPr>
          <w:cantSplit/>
        </w:trPr>
        <w:tc>
          <w:tcPr>
            <w:tcW w:type="dxa" w:w="180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9"/>
              </w:rPr>
              <w:t>NYSE top 100</w:t>
            </w:r>
          </w:p>
        </w:tc>
        <w:tc>
          <w:tcPr>
            <w:tcW w:type="dxa" w:w="410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THINK + mixer + Huber</w:t>
            </w:r>
          </w:p>
        </w:tc>
        <w:tc>
          <w:tcPr>
            <w:tcW w:type="dxa" w:w="129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-0.17</w:t>
            </w:r>
          </w:p>
        </w:tc>
        <w:tc>
          <w:tcPr>
            <w:tcW w:type="dxa" w:w="129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0.06</w:t>
            </w:r>
          </w:p>
        </w:tc>
        <w:tc>
          <w:tcPr>
            <w:tcW w:type="dxa" w:w="144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0.23</w:t>
            </w:r>
          </w:p>
        </w:tc>
      </w:tr>
    </w:tbl>
    <w:p>
      <w:pPr>
        <w:pStyle w:val="TableSpacer"/>
      </w:pPr>
    </w:p>
    <w:p>
      <w:pPr>
        <w:pStyle w:val="Heading1"/>
        <w:pageBreakBefore/>
      </w:pPr>
      <w:r>
        <w:t>Five day comparison with earlier samples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104"/>
        <w:gridCol w:w="1296"/>
        <w:gridCol w:w="1296"/>
        <w:gridCol w:w="1440"/>
      </w:tblGrid>
      <w:tr>
        <w:trPr>
          <w:cantSplit/>
          <w:tblHeader/>
        </w:trPr>
        <w:tc>
          <w:tcPr>
            <w:tcW w:type="dxa" w:w="1800"/>
            <w:vAlign w:val="center"/>
            <w:tcMar>
              <w:top w:w="50" w:type="dxa"/>
              <w:bottom w:w="50" w:type="dxa"/>
              <w:left w:w="95" w:type="dxa"/>
              <w:right w:w="95" w:type="dxa"/>
            </w:tcMar>
            <w:shd w:fill="333333"/>
          </w:tcPr>
          <w:p>
            <w:pPr>
              <w:spacing w:after="0" w:before="0" w:line="240" w:lineRule="auto"/>
              <w:jc w:val="left"/>
            </w:pPr>
            <w:r>
              <w:rPr>
                <w:rFonts w:ascii="Poppins" w:hAnsi="Poppins"/>
                <w:b/>
                <w:color w:val="FFFFFF"/>
                <w:sz w:val="19"/>
              </w:rPr>
              <w:t>Group</w:t>
            </w:r>
          </w:p>
        </w:tc>
        <w:tc>
          <w:tcPr>
            <w:tcW w:type="dxa" w:w="4104"/>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9"/>
              </w:rPr>
              <w:t>Model</w:t>
            </w:r>
          </w:p>
        </w:tc>
        <w:tc>
          <w:tcPr>
            <w:tcW w:type="dxa" w:w="1296"/>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9"/>
              </w:rPr>
              <w:t>Earlier Sharpe</w:t>
            </w:r>
          </w:p>
        </w:tc>
        <w:tc>
          <w:tcPr>
            <w:tcW w:type="dxa" w:w="1296"/>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9"/>
              </w:rPr>
              <w:t>New Sharpe</w:t>
            </w:r>
          </w:p>
        </w:tc>
        <w:tc>
          <w:tcPr>
            <w:tcW w:type="dxa" w:w="1440"/>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19"/>
              </w:rPr>
              <w:t>Change</w:t>
            </w:r>
          </w:p>
        </w:tc>
      </w:tr>
      <w:tr>
        <w:trPr>
          <w:cantSplit/>
        </w:trPr>
        <w:tc>
          <w:tcPr>
            <w:tcW w:type="dxa" w:w="180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9"/>
              </w:rPr>
              <w:t>NASDAQ 100</w:t>
            </w:r>
          </w:p>
        </w:tc>
        <w:tc>
          <w:tcPr>
            <w:tcW w:type="dxa" w:w="410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Multi scale mixer + Huber</w:t>
            </w:r>
          </w:p>
        </w:tc>
        <w:tc>
          <w:tcPr>
            <w:tcW w:type="dxa" w:w="129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0.06</w:t>
            </w:r>
          </w:p>
        </w:tc>
        <w:tc>
          <w:tcPr>
            <w:tcW w:type="dxa" w:w="129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0.61</w:t>
            </w:r>
          </w:p>
        </w:tc>
        <w:tc>
          <w:tcPr>
            <w:tcW w:type="dxa" w:w="144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0.55</w:t>
            </w:r>
          </w:p>
        </w:tc>
      </w:tr>
      <w:tr>
        <w:trPr>
          <w:cantSplit/>
        </w:trPr>
        <w:tc>
          <w:tcPr>
            <w:tcW w:type="dxa" w:w="180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9"/>
              </w:rPr>
              <w:t>NASDAQ 100</w:t>
            </w:r>
          </w:p>
        </w:tc>
        <w:tc>
          <w:tcPr>
            <w:tcW w:type="dxa" w:w="410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StockMixer + Huber</w:t>
            </w:r>
          </w:p>
        </w:tc>
        <w:tc>
          <w:tcPr>
            <w:tcW w:type="dxa" w:w="129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0.19</w:t>
            </w:r>
          </w:p>
        </w:tc>
        <w:tc>
          <w:tcPr>
            <w:tcW w:type="dxa" w:w="129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0.91</w:t>
            </w:r>
          </w:p>
        </w:tc>
        <w:tc>
          <w:tcPr>
            <w:tcW w:type="dxa" w:w="144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0.72</w:t>
            </w:r>
          </w:p>
        </w:tc>
      </w:tr>
      <w:tr>
        <w:trPr>
          <w:cantSplit/>
        </w:trPr>
        <w:tc>
          <w:tcPr>
            <w:tcW w:type="dxa" w:w="180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9"/>
              </w:rPr>
              <w:t>NASDAQ 100</w:t>
            </w:r>
          </w:p>
        </w:tc>
        <w:tc>
          <w:tcPr>
            <w:tcW w:type="dxa" w:w="410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THINK</w:t>
            </w:r>
          </w:p>
        </w:tc>
        <w:tc>
          <w:tcPr>
            <w:tcW w:type="dxa" w:w="129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0.39</w:t>
            </w:r>
          </w:p>
        </w:tc>
        <w:tc>
          <w:tcPr>
            <w:tcW w:type="dxa" w:w="129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0.81</w:t>
            </w:r>
          </w:p>
        </w:tc>
        <w:tc>
          <w:tcPr>
            <w:tcW w:type="dxa" w:w="144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0.43</w:t>
            </w:r>
          </w:p>
        </w:tc>
      </w:tr>
      <w:tr>
        <w:trPr>
          <w:cantSplit/>
        </w:trPr>
        <w:tc>
          <w:tcPr>
            <w:tcW w:type="dxa" w:w="180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9"/>
              </w:rPr>
              <w:t>NASDAQ 100</w:t>
            </w:r>
          </w:p>
        </w:tc>
        <w:tc>
          <w:tcPr>
            <w:tcW w:type="dxa" w:w="410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THINK + mixer + Huber</w:t>
            </w:r>
          </w:p>
        </w:tc>
        <w:tc>
          <w:tcPr>
            <w:tcW w:type="dxa" w:w="129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0.53</w:t>
            </w:r>
          </w:p>
        </w:tc>
        <w:tc>
          <w:tcPr>
            <w:tcW w:type="dxa" w:w="129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0.91</w:t>
            </w:r>
          </w:p>
        </w:tc>
        <w:tc>
          <w:tcPr>
            <w:tcW w:type="dxa" w:w="144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0.38</w:t>
            </w:r>
          </w:p>
        </w:tc>
      </w:tr>
      <w:tr>
        <w:trPr>
          <w:cantSplit/>
        </w:trPr>
        <w:tc>
          <w:tcPr>
            <w:tcW w:type="dxa" w:w="180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9"/>
              </w:rPr>
              <w:t>NYSE top 100</w:t>
            </w:r>
          </w:p>
        </w:tc>
        <w:tc>
          <w:tcPr>
            <w:tcW w:type="dxa" w:w="410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Multi scale mixer + Huber</w:t>
            </w:r>
          </w:p>
        </w:tc>
        <w:tc>
          <w:tcPr>
            <w:tcW w:type="dxa" w:w="129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0.05</w:t>
            </w:r>
          </w:p>
        </w:tc>
        <w:tc>
          <w:tcPr>
            <w:tcW w:type="dxa" w:w="129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0.28</w:t>
            </w:r>
          </w:p>
        </w:tc>
        <w:tc>
          <w:tcPr>
            <w:tcW w:type="dxa" w:w="144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0.23</w:t>
            </w:r>
          </w:p>
        </w:tc>
      </w:tr>
      <w:tr>
        <w:trPr>
          <w:cantSplit/>
        </w:trPr>
        <w:tc>
          <w:tcPr>
            <w:tcW w:type="dxa" w:w="180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9"/>
              </w:rPr>
              <w:t>NYSE top 100</w:t>
            </w:r>
          </w:p>
        </w:tc>
        <w:tc>
          <w:tcPr>
            <w:tcW w:type="dxa" w:w="410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StockMixer + Huber</w:t>
            </w:r>
          </w:p>
        </w:tc>
        <w:tc>
          <w:tcPr>
            <w:tcW w:type="dxa" w:w="129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-0.36</w:t>
            </w:r>
          </w:p>
        </w:tc>
        <w:tc>
          <w:tcPr>
            <w:tcW w:type="dxa" w:w="129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0.04</w:t>
            </w:r>
          </w:p>
        </w:tc>
        <w:tc>
          <w:tcPr>
            <w:tcW w:type="dxa" w:w="144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0.40</w:t>
            </w:r>
          </w:p>
        </w:tc>
      </w:tr>
      <w:tr>
        <w:trPr>
          <w:cantSplit/>
        </w:trPr>
        <w:tc>
          <w:tcPr>
            <w:tcW w:type="dxa" w:w="1800"/>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19"/>
              </w:rPr>
              <w:t>NYSE top 100</w:t>
            </w:r>
          </w:p>
        </w:tc>
        <w:tc>
          <w:tcPr>
            <w:tcW w:type="dxa" w:w="410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THINK</w:t>
            </w:r>
          </w:p>
        </w:tc>
        <w:tc>
          <w:tcPr>
            <w:tcW w:type="dxa" w:w="129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-0.12</w:t>
            </w:r>
          </w:p>
        </w:tc>
        <w:tc>
          <w:tcPr>
            <w:tcW w:type="dxa" w:w="129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0.75</w:t>
            </w:r>
          </w:p>
        </w:tc>
        <w:tc>
          <w:tcPr>
            <w:tcW w:type="dxa" w:w="1440"/>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19"/>
              </w:rPr>
              <w:t>0.87</w:t>
            </w:r>
          </w:p>
        </w:tc>
      </w:tr>
      <w:tr>
        <w:trPr>
          <w:cantSplit/>
        </w:trPr>
        <w:tc>
          <w:tcPr>
            <w:tcW w:type="dxa" w:w="1800"/>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19"/>
              </w:rPr>
              <w:t>NYSE top 100</w:t>
            </w:r>
          </w:p>
        </w:tc>
        <w:tc>
          <w:tcPr>
            <w:tcW w:type="dxa" w:w="410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THINK + mixer + Huber</w:t>
            </w:r>
          </w:p>
        </w:tc>
        <w:tc>
          <w:tcPr>
            <w:tcW w:type="dxa" w:w="129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0.09</w:t>
            </w:r>
          </w:p>
        </w:tc>
        <w:tc>
          <w:tcPr>
            <w:tcW w:type="dxa" w:w="129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0.31</w:t>
            </w:r>
          </w:p>
        </w:tc>
        <w:tc>
          <w:tcPr>
            <w:tcW w:type="dxa" w:w="1440"/>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19"/>
              </w:rPr>
              <w:t>0.22</w:t>
            </w:r>
          </w:p>
        </w:tc>
      </w:tr>
    </w:tbl>
    <w:p>
      <w:pPr>
        <w:pStyle w:val="TableSpacer"/>
      </w:pPr>
    </w:p>
    <w:p>
      <w:r>
        <w:t>The full comparison is retained in the supporting CSV files. Model choices from prior validation and fixed-rule comparisons answer different questions: the former tests a selection procedure, while the latter helps compare forecasting models with the trading rule held constant.</w:t>
      </w:r>
    </w:p>
    <w:p>
      <w:pPr>
        <w:pStyle w:val="Heading1"/>
        <w:pageBreakBefore/>
      </w:pPr>
      <w:r>
        <w:t>Study method and interpretation</w:t>
      </w:r>
    </w:p>
    <w:p>
      <w:r>
        <w:t>Each annual test freshly trains all neural models on earlier prices. The simple winner and loser rules use earlier prices directly. We used 16 trading days of input and five measurements: daily price change, price relative to its five-day and twenty-day averages, recent price variability, and trading activity. Models predict a price-change score used to rank eligible stocks.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5184"/>
        <w:gridCol w:w="2736"/>
      </w:tblGrid>
      <w:tr>
        <w:trPr>
          <w:cantSplit/>
          <w:tblHeader/>
        </w:trPr>
        <w:tc>
          <w:tcPr>
            <w:tcW w:type="dxa" w:w="2016"/>
            <w:vAlign w:val="center"/>
            <w:tcMar>
              <w:top w:w="50" w:type="dxa"/>
              <w:bottom w:w="50" w:type="dxa"/>
              <w:left w:w="95" w:type="dxa"/>
              <w:right w:w="95" w:type="dxa"/>
            </w:tcMar>
            <w:shd w:fill="333333"/>
          </w:tcPr>
          <w:p>
            <w:pPr>
              <w:spacing w:after="0" w:before="0" w:line="240" w:lineRule="auto"/>
              <w:jc w:val="left"/>
            </w:pPr>
            <w:r>
              <w:rPr>
                <w:rFonts w:ascii="Poppins" w:hAnsi="Poppins"/>
                <w:b/>
                <w:color w:val="FFFFFF"/>
                <w:sz w:val="20"/>
              </w:rPr>
              <w:t>Test year</w:t>
            </w:r>
          </w:p>
        </w:tc>
        <w:tc>
          <w:tcPr>
            <w:tcW w:type="dxa" w:w="5184"/>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20"/>
              </w:rPr>
              <w:t>Training signals</w:t>
            </w:r>
          </w:p>
        </w:tc>
        <w:tc>
          <w:tcPr>
            <w:tcW w:type="dxa" w:w="2736"/>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20"/>
              </w:rPr>
              <w:t>Validation year</w:t>
            </w:r>
          </w:p>
        </w:tc>
      </w:tr>
      <w:tr>
        <w:trPr>
          <w:cantSplit/>
        </w:trPr>
        <w:tc>
          <w:tcPr>
            <w:tcW w:type="dxa" w:w="2016"/>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20"/>
              </w:rPr>
              <w:t>2022</w:t>
            </w:r>
          </w:p>
        </w:tc>
        <w:tc>
          <w:tcPr>
            <w:tcW w:type="dxa" w:w="518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20"/>
              </w:rPr>
              <w:t>2019 to 2020</w:t>
            </w:r>
          </w:p>
        </w:tc>
        <w:tc>
          <w:tcPr>
            <w:tcW w:type="dxa" w:w="273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20"/>
              </w:rPr>
              <w:t>2021</w:t>
            </w:r>
          </w:p>
        </w:tc>
      </w:tr>
      <w:tr>
        <w:trPr>
          <w:cantSplit/>
        </w:trPr>
        <w:tc>
          <w:tcPr>
            <w:tcW w:type="dxa" w:w="2016"/>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20"/>
              </w:rPr>
              <w:t>2023</w:t>
            </w:r>
          </w:p>
        </w:tc>
        <w:tc>
          <w:tcPr>
            <w:tcW w:type="dxa" w:w="518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20"/>
              </w:rPr>
              <w:t>2019 to 2021</w:t>
            </w:r>
          </w:p>
        </w:tc>
        <w:tc>
          <w:tcPr>
            <w:tcW w:type="dxa" w:w="273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20"/>
              </w:rPr>
              <w:t>2022</w:t>
            </w:r>
          </w:p>
        </w:tc>
      </w:tr>
      <w:tr>
        <w:trPr>
          <w:cantSplit/>
        </w:trPr>
        <w:tc>
          <w:tcPr>
            <w:tcW w:type="dxa" w:w="2016"/>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20"/>
              </w:rPr>
              <w:t>2024</w:t>
            </w:r>
          </w:p>
        </w:tc>
        <w:tc>
          <w:tcPr>
            <w:tcW w:type="dxa" w:w="5184"/>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20"/>
              </w:rPr>
              <w:t>2019 to 2022</w:t>
            </w:r>
          </w:p>
        </w:tc>
        <w:tc>
          <w:tcPr>
            <w:tcW w:type="dxa" w:w="2736"/>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20"/>
              </w:rPr>
              <w:t>2023</w:t>
            </w:r>
          </w:p>
        </w:tc>
      </w:tr>
      <w:tr>
        <w:trPr>
          <w:cantSplit/>
        </w:trPr>
        <w:tc>
          <w:tcPr>
            <w:tcW w:type="dxa" w:w="2016"/>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20"/>
              </w:rPr>
              <w:t>2025</w:t>
            </w:r>
          </w:p>
        </w:tc>
        <w:tc>
          <w:tcPr>
            <w:tcW w:type="dxa" w:w="5184"/>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20"/>
              </w:rPr>
              <w:t>2020 to 2023</w:t>
            </w:r>
          </w:p>
        </w:tc>
        <w:tc>
          <w:tcPr>
            <w:tcW w:type="dxa" w:w="2736"/>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20"/>
              </w:rPr>
              <w:t>2024</w:t>
            </w:r>
          </w:p>
        </w:tc>
      </w:tr>
    </w:tbl>
    <w:p>
      <w:pPr>
        <w:pStyle w:val="TableSpacer"/>
      </w:pPr>
    </w:p>
    <w:p>
      <w:r>
        <w:t>THINK is the original model family. A mixer combines patterns across stocks; the weaker version reduces its influence. Huber reduces the influence of extreme forecast errors. Rank variants add a training objective for ordering future winners above losers. These are local adaptations, rather than official reproductions of the research papers.</w:t>
      </w:r>
    </w:p>
    <w:p>
      <w:r>
        <w:t>We trained each neural configuration from three different starting weights, called seeds 7, 19 and 42. Predictions from these runs are combined by their ranks; we do not choose the seed with the best test return. Training makes at most thirty passes through the training data and stops after six passes without improvement in validation forecast error. The optimizer is AdamW with learning rate 0.001. Five-day models process batches of eight observations; daily models process forty. All 648 declared fits finished.</w:t>
      </w:r>
    </w:p>
    <w:p>
      <w:r>
        <w:t>Portfolio selection tests five weighting or retention methods and holdings of five, ten or twenty stocks. It uses the median prior-validation half-year and seed Sharpe minus a variability penalty. The architecture choice for an annual test uses that year’s and earlier validation scores. The new five-day procedure also includes the three previously studied ranking-loss variants; the earlier main procedure had sixteen models.</w:t>
      </w:r>
    </w:p>
    <w:p>
      <w:r>
        <w:t>The sixteen cohort, horizon and year folds passed saved-split, training-only scaling, mature-label and future-observation perturbation checks. Those checks support the chronology of the saved-data pipeline. They do not certify historical membership, unrevised vendor data or an independent confirmation test.</w:t>
      </w:r>
    </w:p>
    <w:p>
      <w:pPr>
        <w:pStyle w:val="Heading1"/>
        <w:pageBreakBefore/>
      </w:pPr>
      <w:r>
        <w:t>Trading rules and research limits</w:t>
      </w:r>
    </w:p>
    <w:p>
      <w:r>
        <w:t>A stock qualifies only with forty consecutive observed prices, finite model inputs and at least $1 million of average daily trading value over twenty sessions. A score produced at today’s close trades at the next close. Each annual simulated account starts at $1 million. Normal orders are capped at 1% of lagged average daily trading value; forced year-end liquidations may exceed that cap. Per-side costs include a 2-basis-point commission, 5 basis points for spread and slippage, and participation-based impact. A basis point is 0.01 percentage points. Cash earns zero in the simulation, while Sharpe uses a fixed 3% annual hurdle. Days in this report mean trading days.</w:t>
      </w:r>
    </w:p>
    <w:p>
      <w:r>
        <w:t>The buy-recent-winners baseline also needs a finite six-month price-change measurement. It excludes a newly listed stock until that history is available; the stock can still qualify for the neural models earlier. This causal availability check was added after an error during validation, before any new held-out performance metrics were computed.</w:t>
      </w:r>
    </w:p>
    <w:p>
      <w:pPr>
        <w:pStyle w:val="Heading2"/>
      </w:pPr>
      <w:r>
        <w:t>Limits that remain</w:t>
      </w:r>
    </w:p>
    <w:p>
      <w:r>
        <w:t>Current 2026 lists create future-universe selection and survivorship bias when applied to 2022–2025. The NASDAQ group is not a reconstruction of historical index membership, and the NYSE group is not reselected by historical size. Company businesses can change through restructurings. Price adjustments may include later revisions, and recent listings cannot provide earlier histories. The test years were already examined during prior research. Any apparent advantage remains conditional on this retrospective setup.</w:t>
      </w:r>
    </w:p>
    <w:p>
      <w:r>
        <w:t>Before using the result as evidence of future trading performance, repeat the experiment with membership and company-size information available at each historical decision date, plus a genuinely new test period. The current report can support a presentation about exploratory results on clearly defined large-company groups.</w:t>
      </w:r>
    </w:p>
    <w:p>
      <w:pPr>
        <w:pStyle w:val="Heading1"/>
        <w:pageBreakBefore/>
      </w:pPr>
      <w:r>
        <w:t>Sources and supporting results</w:t>
      </w:r>
    </w:p>
    <w:p>
      <w:r>
        <w:t>Company lists were frozen on 10 October 2026 before the new price download and before inspection of new test metrics. Complete ticker lists, company names, source snapshots, coverage counts, training checkpoints, validation choices and return paths are retained separately.</w:t>
      </w:r>
    </w:p>
    <w:p>
      <w:r>
        <w:t>NYSE-listed company ranking</w:t>
        <w:br/>
        <w:t>https://stockanalysis.com/list/nyse-stocks/</w:t>
      </w:r>
    </w:p>
    <w:p>
      <w:r>
        <w:t>NASDAQ-100 component list</w:t>
        <w:br/>
        <w:t>https://www.slickcharts.com/nasdaq100</w:t>
      </w:r>
    </w:p>
    <w:p>
      <w:r>
        <w:t>Official NASDAQ-100 methodology</w:t>
        <w:br/>
        <w:t>https://indexes.nasdaq.com/docs/Methodology_NDX.pdf</w:t>
      </w:r>
    </w:p>
    <w:p>
      <w:r>
        <w:t>NYSE 100 definition</w:t>
        <w:br/>
        <w:t>https://www.nyse.com/nyse-100-index</w:t>
      </w:r>
    </w:p>
    <w:p>
      <w:r>
        <w:t>Price history provider</w:t>
        <w:br/>
        <w:t>https://finance.yahoo.com/</w:t>
      </w:r>
    </w:p>
    <w:p>
      <w:r>
        <w:t>Data download library</w:t>
        <w:br/>
        <w:t>https://ranaroussi.github.io/yfinance/</w:t>
      </w:r>
    </w:p>
    <w:p>
      <w:pPr>
        <w:pStyle w:val="Heading2"/>
      </w:pPr>
      <w:r>
        <w:t>Files retained with the study</w:t>
      </w:r>
    </w:p>
    <w:p>
      <w:r>
        <w:t>The supporting data package includes full model results, paired confidence intervals, annual model choices, fixed ten-stock comparisons with the previous run, company membership and coverage. It also includes the secondary procedure that chooses between both forecast horizons using earlier validation scores. The training run retains per-seed histories and checkpoints. The original experiment and presentation files remain unchanged.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cantSplit/>
          <w:tblHeader/>
        </w:trPr>
        <w:tc>
          <w:tcPr>
            <w:tcW w:type="dxa" w:w="3312"/>
            <w:vAlign w:val="center"/>
            <w:tcMar>
              <w:top w:w="50" w:type="dxa"/>
              <w:bottom w:w="50" w:type="dxa"/>
              <w:left w:w="95" w:type="dxa"/>
              <w:right w:w="95" w:type="dxa"/>
            </w:tcMar>
            <w:shd w:fill="333333"/>
          </w:tcPr>
          <w:p>
            <w:pPr>
              <w:spacing w:after="0" w:before="0" w:line="240" w:lineRule="auto"/>
              <w:jc w:val="left"/>
            </w:pPr>
            <w:r>
              <w:rPr>
                <w:rFonts w:ascii="Poppins" w:hAnsi="Poppins"/>
                <w:b/>
                <w:color w:val="FFFFFF"/>
                <w:sz w:val="20"/>
              </w:rPr>
              <w:t>Forecast</w:t>
            </w:r>
          </w:p>
        </w:tc>
        <w:tc>
          <w:tcPr>
            <w:tcW w:type="dxa" w:w="3312"/>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20"/>
              </w:rPr>
              <w:t>Neural fits</w:t>
            </w:r>
          </w:p>
        </w:tc>
        <w:tc>
          <w:tcPr>
            <w:tcW w:type="dxa" w:w="3312"/>
            <w:vAlign w:val="center"/>
            <w:tcMar>
              <w:top w:w="50" w:type="dxa"/>
              <w:bottom w:w="50" w:type="dxa"/>
              <w:left w:w="95" w:type="dxa"/>
              <w:right w:w="95" w:type="dxa"/>
            </w:tcMar>
            <w:shd w:fill="333333"/>
          </w:tcPr>
          <w:p>
            <w:pPr>
              <w:spacing w:after="0" w:before="0" w:line="240" w:lineRule="auto"/>
              <w:jc w:val="center"/>
            </w:pPr>
            <w:r>
              <w:rPr>
                <w:rFonts w:ascii="Poppins" w:hAnsi="Poppins"/>
                <w:b/>
                <w:color w:val="FFFFFF"/>
                <w:sz w:val="20"/>
              </w:rPr>
              <w:t>Epochs completed</w:t>
            </w:r>
          </w:p>
        </w:tc>
      </w:tr>
      <w:tr>
        <w:trPr>
          <w:cantSplit/>
        </w:trPr>
        <w:tc>
          <w:tcPr>
            <w:tcW w:type="dxa" w:w="3312"/>
            <w:vAlign w:val="center"/>
            <w:tcMar>
              <w:top w:w="50" w:type="dxa"/>
              <w:bottom w:w="50" w:type="dxa"/>
              <w:left w:w="95" w:type="dxa"/>
              <w:right w:w="95" w:type="dxa"/>
            </w:tcMar>
            <w:shd w:fill="FFFFFF"/>
          </w:tcPr>
          <w:p>
            <w:pPr>
              <w:spacing w:after="0" w:before="0" w:line="240" w:lineRule="auto"/>
              <w:jc w:val="left"/>
            </w:pPr>
            <w:r>
              <w:rPr>
                <w:rFonts w:ascii="Poppins" w:hAnsi="Poppins"/>
                <w:b w:val="0"/>
                <w:color w:val="000000"/>
                <w:sz w:val="20"/>
              </w:rPr>
              <w:t>5 day</w:t>
            </w:r>
          </w:p>
        </w:tc>
        <w:tc>
          <w:tcPr>
            <w:tcW w:type="dxa" w:w="3312"/>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20"/>
              </w:rPr>
              <w:t>456</w:t>
            </w:r>
          </w:p>
        </w:tc>
        <w:tc>
          <w:tcPr>
            <w:tcW w:type="dxa" w:w="3312"/>
            <w:vAlign w:val="center"/>
            <w:tcMar>
              <w:top w:w="50" w:type="dxa"/>
              <w:bottom w:w="50" w:type="dxa"/>
              <w:left w:w="95" w:type="dxa"/>
              <w:right w:w="95" w:type="dxa"/>
            </w:tcMar>
            <w:shd w:fill="FFFFFF"/>
          </w:tcPr>
          <w:p>
            <w:pPr>
              <w:spacing w:after="0" w:before="0" w:line="240" w:lineRule="auto"/>
              <w:jc w:val="center"/>
            </w:pPr>
            <w:r>
              <w:rPr>
                <w:rFonts w:ascii="Poppins" w:hAnsi="Poppins"/>
                <w:b w:val="0"/>
                <w:color w:val="000000"/>
                <w:sz w:val="20"/>
              </w:rPr>
              <w:t>6787</w:t>
            </w:r>
          </w:p>
        </w:tc>
      </w:tr>
      <w:tr>
        <w:trPr>
          <w:cantSplit/>
        </w:trPr>
        <w:tc>
          <w:tcPr>
            <w:tcW w:type="dxa" w:w="3312"/>
            <w:vAlign w:val="center"/>
            <w:tcMar>
              <w:top w:w="50" w:type="dxa"/>
              <w:bottom w:w="50" w:type="dxa"/>
              <w:left w:w="95" w:type="dxa"/>
              <w:right w:w="95" w:type="dxa"/>
            </w:tcMar>
            <w:shd w:fill="F4F4F2"/>
          </w:tcPr>
          <w:p>
            <w:pPr>
              <w:spacing w:after="0" w:before="0" w:line="240" w:lineRule="auto"/>
              <w:jc w:val="left"/>
            </w:pPr>
            <w:r>
              <w:rPr>
                <w:rFonts w:ascii="Poppins" w:hAnsi="Poppins"/>
                <w:b w:val="0"/>
                <w:color w:val="000000"/>
                <w:sz w:val="20"/>
              </w:rPr>
              <w:t>1 day</w:t>
            </w:r>
          </w:p>
        </w:tc>
        <w:tc>
          <w:tcPr>
            <w:tcW w:type="dxa" w:w="3312"/>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20"/>
              </w:rPr>
              <w:t>192</w:t>
            </w:r>
          </w:p>
        </w:tc>
        <w:tc>
          <w:tcPr>
            <w:tcW w:type="dxa" w:w="3312"/>
            <w:vAlign w:val="center"/>
            <w:tcMar>
              <w:top w:w="50" w:type="dxa"/>
              <w:bottom w:w="50" w:type="dxa"/>
              <w:left w:w="95" w:type="dxa"/>
              <w:right w:w="95" w:type="dxa"/>
            </w:tcMar>
            <w:shd w:fill="F4F4F2"/>
          </w:tcPr>
          <w:p>
            <w:pPr>
              <w:spacing w:after="0" w:before="0" w:line="240" w:lineRule="auto"/>
              <w:jc w:val="center"/>
            </w:pPr>
            <w:r>
              <w:rPr>
                <w:rFonts w:ascii="Poppins" w:hAnsi="Poppins"/>
                <w:b w:val="0"/>
                <w:color w:val="000000"/>
                <w:sz w:val="20"/>
              </w:rPr>
              <w:t>2425</w:t>
            </w:r>
          </w:p>
        </w:tc>
      </w:tr>
    </w:tbl>
    <w:p>
      <w:pPr>
        <w:pStyle w:val="TableSpacer"/>
      </w:pPr>
    </w:p>
    <w:p>
      <w:pPr>
        <w:pStyle w:val="Caption"/>
      </w:pPr>
      <w:r>
        <w:t>Report generated after the complete training and reporting batch. All figures and numeric tables come from saved simulated returns; no model was selected from the test charts.</w:t>
      </w:r>
    </w:p>
    <w:sectPr w:rsidR="00FC693F" w:rsidRPr="0006063C" w:rsidSect="00034616">
      <w:headerReference w:type="default" r:id="rId9"/>
      <w:footerReference w:type="default" r:id="rId10"/>
      <w:pgSz w:w="12240" w:h="15840"/>
      <w:pgMar w:top="936"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Poppins">
    <w:embedRegular r:id="rIdPoppinsembedRegularPoppins" w:fontKey="{815DF221-39F8-40DD-8094-907FAA2F6E10}" w:subsetted="0"/>
    <w:embedBold r:id="rIdPoppinsembedBoldPoppins" w:fontKey="{B3CEC906-5AB7-4672-A125-EFA018CFBD3B}" w:subsetted="0"/>
  </w:font>
  <w:font w:name="Poppins Black">
    <w:embedRegular r:id="rIdPoppinsembedRegularPoppinsBlack" w:fontKey="{315EC022-C778-488E-AE70-281BD15B88AF}"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Poppins" w:hAnsi="Poppins"/>
        <w:sz w:val="16"/>
      </w:rPr>
      <w:t xml:space="preserve">Exploratory research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HYPERSHIFT   LARGE COMPANY RETRAINING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mbedTrueTypeFon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52" w:lineRule="auto"/>
    </w:pPr>
    <w:rPr>
      <w:rFonts w:ascii="Poppins" w:hAnsi="Poppi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Poppins" w:hAnsi="Poppin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Poppins" w:hAnsi="Poppin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Poppins Black" w:hAnsi="Poppins Black"/>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before="0"/>
    </w:pPr>
    <w:rPr>
      <w:rFonts w:ascii="Poppins" w:hAnsi="Poppins"/>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before="200"/>
    </w:pPr>
    <w:rPr>
      <w:rFonts w:ascii="Poppins" w:hAnsi="Poppins"/>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Spacer">
    <w:name w:val="Table Spacer"/>
    <w:pPr>
      <w:spacing w:line="20" w:lineRule="exact" w:after="60" w:before="0"/>
    </w:pPr>
    <w:rPr>
      <w:rFonts w:ascii="Poppins" w:hAnsi="Poppins"/>
      <w:sz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_rels/fontTable.xml.rels><?xml version='1.0' encoding='utf-8'?>
<ns0:Relationships xmlns:ns0="http://schemas.openxmlformats.org/package/2006/relationships"><ns0:Relationship Id="rIdPoppinsembedRegularPoppins" Type="http://schemas.openxmlformats.org/officeDocument/2006/relationships/font" Target="fonts/Poppins-Regular.odttf"/><ns0:Relationship Id="rIdPoppinsembedBoldPoppins" Type="http://schemas.openxmlformats.org/officeDocument/2006/relationships/font" Target="fonts/Poppins-Bold.odttf"/><ns0:Relationship Id="rIdPoppinsembedRegularPoppinsBlack" Type="http://schemas.openxmlformats.org/officeDocument/2006/relationships/font" Target="fonts/Poppins-Black.odttf"/></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Poppins"/>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Poppin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Poppins-OFL.txt>Copyright 2020 The Poppins Project Authors (https://github.com/itfoundry/Poppins)

This Font Software is licensed under the SIL Open Font License, Version 1.1.
This license is copied below, and is also available with a FAQ at:
http://scripts.sil.org/OFL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 Forecasting Model Retraining Results</dc:title>
  <dc:subject>Current large company lists with retrospective tests from 2022 to 2025</dc:subject>
  <dc:creator>Hypershift</dc:creator>
  <cp:keywords/>
  <dc:description>generated by python-docx</dc:description>
  <cp:lastModifiedBy/>
  <cp:revision>1</cp:revision>
  <dcterms:created xsi:type="dcterms:W3CDTF">2013-12-23T23:15:00Z</dcterms:created>
  <dcterms:modified xsi:type="dcterms:W3CDTF">2013-12-23T23:15:00Z</dcterms:modified>
  <cp:category/>
</cp:coreProperties>
</file>