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pBdr>
          <w:top w:color="auto" w:space="3" w:sz="0" w:val="none"/>
          <w:left w:color="auto" w:space="0" w:sz="0" w:val="none"/>
          <w:bottom w:color="auto" w:space="0" w:sz="0" w:val="none"/>
          <w:right w:color="auto" w:space="0" w:sz="0" w:val="none"/>
        </w:pBdr>
        <w:shd w:fill="ffffff" w:val="clear"/>
        <w:spacing w:after="80" w:before="80" w:line="317.6470588235294" w:lineRule="auto"/>
        <w:rPr>
          <w:color w:val="555555"/>
          <w:sz w:val="45"/>
          <w:szCs w:val="45"/>
        </w:rPr>
      </w:pPr>
      <w:bookmarkStart w:colFirst="0" w:colLast="0" w:name="_9650kfu575q2" w:id="0"/>
      <w:bookmarkEnd w:id="0"/>
      <w:r w:rsidDel="00000000" w:rsidR="00000000" w:rsidRPr="00000000">
        <w:rPr>
          <w:color w:val="555555"/>
          <w:sz w:val="45"/>
          <w:szCs w:val="45"/>
          <w:rtl w:val="0"/>
        </w:rPr>
        <w:t xml:space="preserve">TOCE Editorial Charter</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375.6521739130435" w:lineRule="auto"/>
        <w:rPr>
          <w:color w:val="555555"/>
          <w:sz w:val="23"/>
          <w:szCs w:val="23"/>
        </w:rPr>
      </w:pPr>
      <w:r w:rsidDel="00000000" w:rsidR="00000000" w:rsidRPr="00000000">
        <w:rPr>
          <w:color w:val="555555"/>
          <w:sz w:val="23"/>
          <w:szCs w:val="23"/>
          <w:rtl w:val="0"/>
        </w:rPr>
        <w:t xml:space="preserve">The ACM Transactions on Computing Education (TOCE) publishes high quality, peer-reviewed research articles on the teaching and learning of computing from childhood through adulthood. By establishing clear connections between theoretical, pedagogical and technological advances and student learning and teaching, TOCE articles take a scholarly approach to computing education research, and are of potential interest to a broad audience</w:t>
      </w:r>
      <w:r w:rsidDel="00000000" w:rsidR="00000000" w:rsidRPr="00000000">
        <w:rPr>
          <w:color w:val="555555"/>
          <w:sz w:val="23"/>
          <w:szCs w:val="23"/>
          <w:rtl w:val="0"/>
        </w:rPr>
        <w:t xml:space="preserve">, including</w:t>
      </w:r>
      <w:r w:rsidDel="00000000" w:rsidR="00000000" w:rsidRPr="00000000">
        <w:rPr>
          <w:color w:val="555555"/>
          <w:sz w:val="23"/>
          <w:szCs w:val="23"/>
          <w:rtl w:val="0"/>
        </w:rPr>
        <w:t xml:space="preserve"> </w:t>
      </w:r>
      <w:r w:rsidDel="00000000" w:rsidR="00000000" w:rsidRPr="00000000">
        <w:rPr>
          <w:color w:val="555555"/>
          <w:sz w:val="23"/>
          <w:szCs w:val="23"/>
          <w:rtl w:val="0"/>
        </w:rPr>
        <w:t xml:space="preserve">instructors, researchers, instructional designers, and administrators</w:t>
      </w:r>
      <w:r w:rsidDel="00000000" w:rsidR="00000000" w:rsidRPr="00000000">
        <w:rPr>
          <w:color w:val="555555"/>
          <w:sz w:val="23"/>
          <w:szCs w:val="23"/>
          <w:rtl w:val="0"/>
        </w:rPr>
        <w:t xml:space="preserve">.</w:t>
      </w: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375.6521739130435" w:lineRule="auto"/>
        <w:rPr>
          <w:color w:val="555555"/>
          <w:sz w:val="23"/>
          <w:szCs w:val="23"/>
        </w:rPr>
      </w:pPr>
      <w:r w:rsidDel="00000000" w:rsidR="00000000" w:rsidRPr="00000000">
        <w:rPr>
          <w:color w:val="555555"/>
          <w:sz w:val="23"/>
          <w:szCs w:val="23"/>
          <w:rtl w:val="0"/>
        </w:rPr>
        <w:t xml:space="preserve">The topics covered by TOCE span diverse aspects of computing education, including</w:t>
      </w:r>
    </w:p>
    <w:p w:rsidR="00000000" w:rsidDel="00000000" w:rsidP="00000000" w:rsidRDefault="00000000" w:rsidRPr="00000000" w14:paraId="00000004">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375.6521739130435" w:lineRule="auto"/>
        <w:ind w:left="1180" w:hanging="360"/>
        <w:rPr/>
      </w:pPr>
      <w:r w:rsidDel="00000000" w:rsidR="00000000" w:rsidRPr="00000000">
        <w:rPr>
          <w:color w:val="555555"/>
          <w:sz w:val="23"/>
          <w:szCs w:val="23"/>
          <w:rtl w:val="0"/>
        </w:rPr>
        <w:t xml:space="preserve">Learning and teaching in </w:t>
      </w:r>
      <w:r w:rsidDel="00000000" w:rsidR="00000000" w:rsidRPr="00000000">
        <w:rPr>
          <w:color w:val="555555"/>
          <w:sz w:val="23"/>
          <w:szCs w:val="23"/>
          <w:rtl w:val="0"/>
        </w:rPr>
        <w:t xml:space="preserve">computer science, computer engineering, software engineering, information systems, information technology, and informatics;</w:t>
      </w:r>
      <w:r w:rsidDel="00000000" w:rsidR="00000000" w:rsidRPr="00000000">
        <w:rPr>
          <w:rtl w:val="0"/>
        </w:rPr>
      </w:r>
    </w:p>
    <w:p w:rsidR="00000000" w:rsidDel="00000000" w:rsidP="00000000" w:rsidRDefault="00000000" w:rsidRPr="00000000" w14:paraId="00000005">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375.6521739130435" w:lineRule="auto"/>
        <w:ind w:left="1180" w:hanging="360"/>
        <w:rPr>
          <w:color w:val="555555"/>
          <w:sz w:val="23"/>
          <w:szCs w:val="23"/>
          <w:u w:val="none"/>
        </w:rPr>
      </w:pPr>
      <w:r w:rsidDel="00000000" w:rsidR="00000000" w:rsidRPr="00000000">
        <w:rPr>
          <w:color w:val="555555"/>
          <w:sz w:val="23"/>
          <w:szCs w:val="23"/>
          <w:rtl w:val="0"/>
        </w:rPr>
        <w:t xml:space="preserve">formal (pre-K</w:t>
      </w:r>
      <w:r w:rsidDel="00000000" w:rsidR="00000000" w:rsidRPr="00000000">
        <w:rPr>
          <w:color w:val="555555"/>
          <w:sz w:val="23"/>
          <w:szCs w:val="23"/>
          <w:rtl w:val="0"/>
        </w:rPr>
        <w:t xml:space="preserve">-12</w:t>
      </w:r>
      <w:r w:rsidDel="00000000" w:rsidR="00000000" w:rsidRPr="00000000">
        <w:rPr>
          <w:color w:val="555555"/>
          <w:sz w:val="23"/>
          <w:szCs w:val="23"/>
          <w:rtl w:val="0"/>
        </w:rPr>
        <w:t xml:space="preserve">, undergraduate, graduate), informal, and professional learning settings;</w:t>
      </w:r>
    </w:p>
    <w:p w:rsidR="00000000" w:rsidDel="00000000" w:rsidP="00000000" w:rsidRDefault="00000000" w:rsidRPr="00000000" w14:paraId="00000006">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375.6521739130435" w:lineRule="auto"/>
        <w:ind w:left="1180" w:hanging="360"/>
        <w:rPr>
          <w:color w:val="555555"/>
          <w:sz w:val="23"/>
          <w:szCs w:val="23"/>
          <w:u w:val="none"/>
        </w:rPr>
      </w:pPr>
      <w:r w:rsidDel="00000000" w:rsidR="00000000" w:rsidRPr="00000000">
        <w:rPr>
          <w:color w:val="555555"/>
          <w:sz w:val="23"/>
          <w:szCs w:val="23"/>
          <w:rtl w:val="0"/>
        </w:rPr>
        <w:t xml:space="preserve">innovative learning and teaching technologies;</w:t>
      </w:r>
    </w:p>
    <w:p w:rsidR="00000000" w:rsidDel="00000000" w:rsidP="00000000" w:rsidRDefault="00000000" w:rsidRPr="00000000" w14:paraId="00000007">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375.6521739130435" w:lineRule="auto"/>
        <w:ind w:left="1180" w:hanging="360"/>
        <w:rPr>
          <w:color w:val="555555"/>
          <w:sz w:val="23"/>
          <w:szCs w:val="23"/>
          <w:u w:val="none"/>
        </w:rPr>
      </w:pPr>
      <w:r w:rsidDel="00000000" w:rsidR="00000000" w:rsidRPr="00000000">
        <w:rPr>
          <w:color w:val="555555"/>
          <w:sz w:val="23"/>
          <w:szCs w:val="23"/>
          <w:rtl w:val="0"/>
        </w:rPr>
        <w:t xml:space="preserve">theoretical advances;</w:t>
      </w:r>
    </w:p>
    <w:p w:rsidR="00000000" w:rsidDel="00000000" w:rsidP="00000000" w:rsidRDefault="00000000" w:rsidRPr="00000000" w14:paraId="00000008">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375.6521739130435" w:lineRule="auto"/>
        <w:ind w:left="1180" w:hanging="360"/>
        <w:rPr>
          <w:color w:val="555555"/>
          <w:sz w:val="23"/>
          <w:szCs w:val="23"/>
          <w:u w:val="none"/>
        </w:rPr>
      </w:pPr>
      <w:r w:rsidDel="00000000" w:rsidR="00000000" w:rsidRPr="00000000">
        <w:rPr>
          <w:color w:val="555555"/>
          <w:sz w:val="23"/>
          <w:szCs w:val="23"/>
          <w:rtl w:val="0"/>
        </w:rPr>
        <w:t xml:space="preserve">formative and summative assessment instruments and techniques;</w:t>
      </w:r>
    </w:p>
    <w:p w:rsidR="00000000" w:rsidDel="00000000" w:rsidP="00000000" w:rsidRDefault="00000000" w:rsidRPr="00000000" w14:paraId="00000009">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375.6521739130435" w:lineRule="auto"/>
        <w:ind w:left="1180" w:hanging="360"/>
        <w:rPr>
          <w:color w:val="555555"/>
          <w:sz w:val="23"/>
          <w:szCs w:val="23"/>
          <w:u w:val="none"/>
        </w:rPr>
      </w:pPr>
      <w:r w:rsidDel="00000000" w:rsidR="00000000" w:rsidRPr="00000000">
        <w:rPr>
          <w:color w:val="555555"/>
          <w:sz w:val="23"/>
          <w:szCs w:val="23"/>
          <w:rtl w:val="0"/>
        </w:rPr>
        <w:t xml:space="preserve">teacher education</w:t>
      </w:r>
      <w:r w:rsidDel="00000000" w:rsidR="00000000" w:rsidRPr="00000000">
        <w:rPr>
          <w:color w:val="555555"/>
          <w:sz w:val="23"/>
          <w:szCs w:val="23"/>
          <w:rtl w:val="0"/>
        </w:rPr>
        <w:t xml:space="preserve"> and professional development; </w:t>
      </w:r>
    </w:p>
    <w:p w:rsidR="00000000" w:rsidDel="00000000" w:rsidP="00000000" w:rsidRDefault="00000000" w:rsidRPr="00000000" w14:paraId="0000000A">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375.6521739130435" w:lineRule="auto"/>
        <w:ind w:left="1180" w:hanging="360"/>
        <w:rPr>
          <w:color w:val="555555"/>
          <w:sz w:val="23"/>
          <w:szCs w:val="23"/>
          <w:u w:val="none"/>
        </w:rPr>
      </w:pPr>
      <w:r w:rsidDel="00000000" w:rsidR="00000000" w:rsidRPr="00000000">
        <w:rPr>
          <w:color w:val="555555"/>
          <w:sz w:val="23"/>
          <w:szCs w:val="23"/>
          <w:rtl w:val="0"/>
        </w:rPr>
        <w:t xml:space="preserve">applying </w:t>
      </w:r>
      <w:r w:rsidDel="00000000" w:rsidR="00000000" w:rsidRPr="00000000">
        <w:rPr>
          <w:color w:val="555555"/>
          <w:sz w:val="23"/>
          <w:szCs w:val="23"/>
          <w:rtl w:val="0"/>
        </w:rPr>
        <w:t xml:space="preserve">computing education to enhance teaching and learning in </w:t>
      </w:r>
      <w:r w:rsidDel="00000000" w:rsidR="00000000" w:rsidRPr="00000000">
        <w:rPr>
          <w:color w:val="555555"/>
          <w:sz w:val="23"/>
          <w:szCs w:val="23"/>
          <w:rtl w:val="0"/>
        </w:rPr>
        <w:t xml:space="preserve">other</w:t>
      </w:r>
      <w:r w:rsidDel="00000000" w:rsidR="00000000" w:rsidRPr="00000000">
        <w:rPr>
          <w:color w:val="555555"/>
          <w:sz w:val="23"/>
          <w:szCs w:val="23"/>
          <w:rtl w:val="0"/>
        </w:rPr>
        <w:t xml:space="preserve"> disciplines, including engineering, the sciences</w:t>
      </w:r>
      <w:r w:rsidDel="00000000" w:rsidR="00000000" w:rsidRPr="00000000">
        <w:rPr>
          <w:color w:val="555555"/>
          <w:sz w:val="23"/>
          <w:szCs w:val="23"/>
          <w:rtl w:val="0"/>
        </w:rPr>
        <w:t xml:space="preserve">, the humanities, and the arts;  and</w:t>
      </w:r>
    </w:p>
    <w:p w:rsidR="00000000" w:rsidDel="00000000" w:rsidP="00000000" w:rsidRDefault="00000000" w:rsidRPr="00000000" w14:paraId="0000000B">
      <w:pPr>
        <w:pageBreakBefore w:val="0"/>
        <w:numPr>
          <w:ilvl w:val="0"/>
          <w:numId w:val="1"/>
        </w:numPr>
        <w:pBdr>
          <w:top w:color="auto" w:space="0" w:sz="0" w:val="none"/>
          <w:bottom w:color="auto" w:space="0" w:sz="0" w:val="none"/>
          <w:right w:color="auto" w:space="0" w:sz="0" w:val="none"/>
          <w:between w:color="auto" w:space="0" w:sz="0" w:val="none"/>
        </w:pBdr>
        <w:spacing w:after="460" w:line="375.6521739130435" w:lineRule="auto"/>
        <w:ind w:left="1180" w:hanging="360"/>
        <w:rPr>
          <w:color w:val="555555"/>
          <w:sz w:val="23"/>
          <w:szCs w:val="23"/>
          <w:u w:val="none"/>
        </w:rPr>
      </w:pPr>
      <w:r w:rsidDel="00000000" w:rsidR="00000000" w:rsidRPr="00000000">
        <w:rPr>
          <w:color w:val="555555"/>
          <w:sz w:val="23"/>
          <w:szCs w:val="23"/>
          <w:rtl w:val="0"/>
        </w:rPr>
        <w:t xml:space="preserve">e</w:t>
      </w:r>
      <w:r w:rsidDel="00000000" w:rsidR="00000000" w:rsidRPr="00000000">
        <w:rPr>
          <w:color w:val="555555"/>
          <w:sz w:val="23"/>
          <w:szCs w:val="23"/>
          <w:rtl w:val="0"/>
        </w:rPr>
        <w:t xml:space="preserve">ducational interventions and initiatives that aim to broaden participation in and perspectives about the field of computing</w:t>
      </w:r>
      <w:r w:rsidDel="00000000" w:rsidR="00000000" w:rsidRPr="00000000">
        <w:rPr>
          <w:color w:val="555555"/>
          <w:sz w:val="23"/>
          <w:szCs w:val="23"/>
          <w:rtl w:val="0"/>
        </w:rPr>
        <w:t xml:space="preserve">.</w:t>
      </w:r>
    </w:p>
    <w:p w:rsidR="00000000" w:rsidDel="00000000" w:rsidP="00000000" w:rsidRDefault="00000000" w:rsidRPr="00000000" w14:paraId="0000000C">
      <w:pPr>
        <w:pageBreakBefore w:val="0"/>
        <w:pBdr>
          <w:top w:color="auto" w:space="0" w:sz="0" w:val="none"/>
          <w:bottom w:color="auto" w:space="0" w:sz="0" w:val="none"/>
          <w:right w:color="auto" w:space="0" w:sz="0" w:val="none"/>
          <w:between w:color="auto" w:space="0" w:sz="0" w:val="none"/>
        </w:pBdr>
        <w:spacing w:after="460" w:line="375.6521739130435" w:lineRule="auto"/>
        <w:rPr/>
      </w:pPr>
      <w:r w:rsidDel="00000000" w:rsidR="00000000" w:rsidRPr="00000000">
        <w:rPr>
          <w:color w:val="555555"/>
          <w:sz w:val="23"/>
          <w:szCs w:val="23"/>
          <w:rtl w:val="0"/>
        </w:rPr>
        <w:t xml:space="preserve">TOCE articles draw on a wide range of theories, including cognitive and socio-cultural theories of learning, as well as a wide range of qualitative and quantitative research methods, </w:t>
      </w:r>
      <w:r w:rsidDel="00000000" w:rsidR="00000000" w:rsidRPr="00000000">
        <w:rPr>
          <w:color w:val="555555"/>
          <w:sz w:val="23"/>
          <w:szCs w:val="23"/>
          <w:rtl w:val="0"/>
        </w:rPr>
        <w:t xml:space="preserve">including</w:t>
      </w:r>
      <w:r w:rsidDel="00000000" w:rsidR="00000000" w:rsidRPr="00000000">
        <w:rPr>
          <w:color w:val="555555"/>
          <w:sz w:val="23"/>
          <w:szCs w:val="23"/>
          <w:rtl w:val="0"/>
        </w:rPr>
        <w:t xml:space="preserve">, but not limited to, survey research, field research, and quasi and controlled experimental studies.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