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pto0egsvw4f" w:id="0"/>
      <w:bookmarkEnd w:id="0"/>
      <w:r w:rsidDel="00000000" w:rsidR="00000000" w:rsidRPr="00000000">
        <w:rPr>
          <w:rtl w:val="0"/>
        </w:rPr>
        <w:t xml:space="preserve">AE sayonara letter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thoughts are to send out the letter personally addressed to each AE]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XXX,</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want to take this opportunity to thank you for your work on the TOCE Editorial Board and serving as an Associate Editor with the journal. The quality of the journal is a joint production of authors, reviewers, Associate Editors, and the Editors-in-Chief. Your effort has made an invaluable contribution to the growth and success of the journal. After two terms as Co-Editors-in-Chief of TOCE, our tenure in this position comes to end, which signals as well an ending of your term on the Editorial Board.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believe that TOCE is well positioned to become the leading journal in computing education under its new Editor-in-Chief, Chris Hundhausen. Chris has requested that if you have an interest in continuing on the Editorial Board under his leadership to please contact him directly at hundhaus@wsu.edu. If you do so, please take an opportunity to let him know your areas of expertise in computing education so that, if he extends an appointment to you, he can best match your expertise to the submitted manuscripts.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again for all of your work on the journal. It has been a pleasure working together with you to improve the state of computing education.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Robert and Josh</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