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342.85714285714283" w:lineRule="auto"/>
        <w:jc w:val="center"/>
        <w:rPr>
          <w:rFonts w:ascii="Droid Sans" w:cs="Droid Sans" w:eastAsia="Droid Sans" w:hAnsi="Droid Sans"/>
          <w:b w:val="1"/>
          <w:sz w:val="21"/>
          <w:szCs w:val="21"/>
          <w:highlight w:val="white"/>
        </w:rPr>
      </w:pPr>
      <w:r w:rsidDel="00000000" w:rsidR="00000000" w:rsidRPr="00000000">
        <w:rPr>
          <w:rFonts w:ascii="Droid Sans" w:cs="Droid Sans" w:eastAsia="Droid Sans" w:hAnsi="Droid Sans"/>
          <w:b w:val="1"/>
          <w:sz w:val="21"/>
          <w:szCs w:val="21"/>
          <w:highlight w:val="white"/>
          <w:rtl w:val="0"/>
        </w:rPr>
        <w:t xml:space="preserve">Draft </w:t>
      </w:r>
      <w:r w:rsidDel="00000000" w:rsidR="00000000" w:rsidRPr="00000000">
        <w:rPr>
          <w:rFonts w:ascii="Droid Sans" w:cs="Droid Sans" w:eastAsia="Droid Sans" w:hAnsi="Droid Sans"/>
          <w:b w:val="1"/>
          <w:sz w:val="21"/>
          <w:szCs w:val="21"/>
          <w:highlight w:val="white"/>
          <w:rtl w:val="0"/>
        </w:rPr>
        <w:t xml:space="preserve">Policy for Presenting TOCE Papers at Participating ACM Computing Education Conferences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00" w:line="342.85714285714283" w:lineRule="auto"/>
        <w:jc w:val="center"/>
        <w:rPr>
          <w:rFonts w:ascii="Droid Sans" w:cs="Droid Sans" w:eastAsia="Droid Sans" w:hAnsi="Droid Sans"/>
          <w:sz w:val="21"/>
          <w:szCs w:val="21"/>
          <w:highlight w:val="white"/>
        </w:rPr>
      </w:pPr>
      <w:r w:rsidDel="00000000" w:rsidR="00000000" w:rsidRPr="00000000">
        <w:rPr>
          <w:rFonts w:ascii="Droid Sans" w:cs="Droid Sans" w:eastAsia="Droid Sans" w:hAnsi="Droid Sans"/>
          <w:sz w:val="21"/>
          <w:szCs w:val="21"/>
          <w:highlight w:val="white"/>
          <w:rtl w:val="0"/>
        </w:rPr>
        <w:t xml:space="preserve">Adapted from TOCHI policy published at </w:t>
      </w:r>
      <w:hyperlink r:id="rId6">
        <w:r w:rsidDel="00000000" w:rsidR="00000000" w:rsidRPr="00000000">
          <w:rPr>
            <w:rFonts w:ascii="Droid Sans" w:cs="Droid Sans" w:eastAsia="Droid Sans" w:hAnsi="Droid Sans"/>
            <w:color w:val="1155cc"/>
            <w:sz w:val="21"/>
            <w:szCs w:val="21"/>
            <w:highlight w:val="white"/>
            <w:u w:val="single"/>
            <w:rtl w:val="0"/>
          </w:rPr>
          <w:t xml:space="preserve">https://tochi.acm.org/authors/</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00" w:line="342.85714285714283" w:lineRule="auto"/>
        <w:jc w:val="center"/>
        <w:rPr>
          <w:rFonts w:ascii="Droid Sans" w:cs="Droid Sans" w:eastAsia="Droid Sans" w:hAnsi="Droid Sans"/>
          <w:sz w:val="21"/>
          <w:szCs w:val="21"/>
          <w:highlight w:val="white"/>
        </w:rPr>
      </w:pPr>
      <w:r w:rsidDel="00000000" w:rsidR="00000000" w:rsidRPr="00000000">
        <w:rPr>
          <w:rFonts w:ascii="Droid Sans" w:cs="Droid Sans" w:eastAsia="Droid Sans" w:hAnsi="Droid Sans"/>
          <w:sz w:val="21"/>
          <w:szCs w:val="21"/>
          <w:highlight w:val="white"/>
          <w:rtl w:val="0"/>
        </w:rPr>
        <w:t xml:space="preserve">Last modified 18 May 2016</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300" w:line="342.85714285714283" w:lineRule="auto"/>
        <w:rPr>
          <w:rFonts w:ascii="Droid Sans" w:cs="Droid Sans" w:eastAsia="Droid Sans" w:hAnsi="Droid Sans"/>
          <w:sz w:val="21"/>
          <w:szCs w:val="21"/>
          <w:highlight w:val="white"/>
        </w:rPr>
      </w:pPr>
      <w:r w:rsidDel="00000000" w:rsidR="00000000" w:rsidRPr="00000000">
        <w:rPr>
          <w:rFonts w:ascii="Droid Sans" w:cs="Droid Sans" w:eastAsia="Droid Sans" w:hAnsi="Droid Sans"/>
          <w:sz w:val="21"/>
          <w:szCs w:val="21"/>
          <w:highlight w:val="white"/>
          <w:rtl w:val="0"/>
        </w:rPr>
        <w:t xml:space="preserve">Authors of papers accepted by TOCE have the opportunity to present their work at participating ACM computing education conferences. When TOCE authors present their papers at these conferences, they get the best of both worlds: a rigorously-reviewed journal publication that gains greater exposure at a prestigious computing education conference.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300" w:line="342.85714285714283" w:lineRule="auto"/>
        <w:rPr>
          <w:rFonts w:ascii="Droid Sans" w:cs="Droid Sans" w:eastAsia="Droid Sans" w:hAnsi="Droid Sans"/>
          <w:sz w:val="21"/>
          <w:szCs w:val="21"/>
          <w:highlight w:val="white"/>
        </w:rPr>
      </w:pPr>
      <w:r w:rsidDel="00000000" w:rsidR="00000000" w:rsidRPr="00000000">
        <w:rPr>
          <w:rFonts w:ascii="Droid Sans" w:cs="Droid Sans" w:eastAsia="Droid Sans" w:hAnsi="Droid Sans"/>
          <w:sz w:val="21"/>
          <w:szCs w:val="21"/>
          <w:highlight w:val="white"/>
          <w:rtl w:val="0"/>
        </w:rPr>
        <w:t xml:space="preserve">Authors of each accepted TOCE paper will have the opportunity to present at only one participating conference within approximately one year of their paper being accepted. A list will be maintained on the TOCE website of conferences at which TOCE authors are eligible to present. Authors will be given the opportunity to choose their preferred conference shortly after their paper is accepted. A liaison from the conference at which a TOCE author would like to present will evaluate the author’s paper in order to determine (a) whether it is a good match for the conference, and (b) whether the conference program can accommodate the paper, given its constraints. In the event that the liaison determines the paper is not a good match, or that the conference program does not have room to accommodate the paper, the authors will be given the opportunity to present at a different participating conference, provided that the liaison of that conference determines the paper is in scope and can be accommodated.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300" w:line="342.85714285714283" w:lineRule="auto"/>
        <w:rPr>
          <w:rFonts w:ascii="Droid Sans" w:cs="Droid Sans" w:eastAsia="Droid Sans" w:hAnsi="Droid Sans"/>
          <w:sz w:val="21"/>
          <w:szCs w:val="21"/>
          <w:highlight w:val="white"/>
        </w:rPr>
      </w:pPr>
      <w:r w:rsidDel="00000000" w:rsidR="00000000" w:rsidRPr="00000000">
        <w:rPr>
          <w:rFonts w:ascii="Droid Sans" w:cs="Droid Sans" w:eastAsia="Droid Sans" w:hAnsi="Droid Sans"/>
          <w:sz w:val="21"/>
          <w:szCs w:val="21"/>
          <w:highlight w:val="white"/>
          <w:rtl w:val="0"/>
        </w:rPr>
        <w:t xml:space="preserve">While participating conferences will do their best to accommodate all TOCE authors who make presentation requests, there is no  guarantee that all TOCE authors will have the opportunity to present at a participating conference. Indeed, the extent to which each participating conference accommodates requests to present TOCE papers is completely up to the conference’s program chairs. Given their local program constraints, the chairs of participating conferences are encouraged to establish their own local policies for integrating TOCE papers into their conference programs, and to share these policies with the TOCE Editorial Board, so that the policies can be communicated to TOCE authors.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300" w:line="342.85714285714283" w:lineRule="auto"/>
        <w:rPr>
          <w:rFonts w:ascii="Droid Sans" w:cs="Droid Sans" w:eastAsia="Droid Sans" w:hAnsi="Droid Sans"/>
          <w:sz w:val="21"/>
          <w:szCs w:val="21"/>
          <w:highlight w:val="white"/>
        </w:rPr>
      </w:pPr>
      <w:r w:rsidDel="00000000" w:rsidR="00000000" w:rsidRPr="00000000">
        <w:rPr>
          <w:rFonts w:ascii="Droid Sans" w:cs="Droid Sans" w:eastAsia="Droid Sans" w:hAnsi="Droid Sans"/>
          <w:sz w:val="21"/>
          <w:szCs w:val="21"/>
          <w:highlight w:val="white"/>
          <w:rtl w:val="0"/>
        </w:rPr>
        <w:t xml:space="preserve">Note that while TOCE authors are given this opportunity to present their papers at participating ACM computing education conferences, such presentation is completely </w:t>
      </w:r>
      <w:r w:rsidDel="00000000" w:rsidR="00000000" w:rsidRPr="00000000">
        <w:rPr>
          <w:rFonts w:ascii="Droid Sans" w:cs="Droid Sans" w:eastAsia="Droid Sans" w:hAnsi="Droid Sans"/>
          <w:i w:val="1"/>
          <w:sz w:val="21"/>
          <w:szCs w:val="21"/>
          <w:highlight w:val="white"/>
          <w:rtl w:val="0"/>
        </w:rPr>
        <w:t xml:space="preserve">optional</w:t>
      </w:r>
      <w:r w:rsidDel="00000000" w:rsidR="00000000" w:rsidRPr="00000000">
        <w:rPr>
          <w:rFonts w:ascii="Droid Sans" w:cs="Droid Sans" w:eastAsia="Droid Sans" w:hAnsi="Droid Sans"/>
          <w:sz w:val="21"/>
          <w:szCs w:val="21"/>
          <w:highlight w:val="white"/>
          <w:rtl w:val="0"/>
        </w:rPr>
        <w:t xml:space="preserve">; authors may choose not to present their papers without penalty.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300" w:line="342.85714285714283" w:lineRule="auto"/>
        <w:rPr/>
      </w:pPr>
      <w:r w:rsidDel="00000000" w:rsidR="00000000" w:rsidRPr="00000000">
        <w:rPr>
          <w:rFonts w:ascii="Droid Sans" w:cs="Droid Sans" w:eastAsia="Droid Sans" w:hAnsi="Droid Sans"/>
          <w:sz w:val="21"/>
          <w:szCs w:val="21"/>
          <w:highlight w:val="white"/>
          <w:rtl w:val="0"/>
        </w:rPr>
        <w:t xml:space="preserve">Once a TOCE paper has been scheduled for presentation at a participating conference, the paper’s authors will receive an e-mail invitation well in advance of the conference at which they are to present the paper.  Instructions will be provided in this e-mail explaining the process for registering for and presenting at the conference. Note that TOCE papers will </w:t>
      </w:r>
      <w:r w:rsidDel="00000000" w:rsidR="00000000" w:rsidRPr="00000000">
        <w:rPr>
          <w:rFonts w:ascii="Droid Sans" w:cs="Droid Sans" w:eastAsia="Droid Sans" w:hAnsi="Droid Sans"/>
          <w:i w:val="1"/>
          <w:sz w:val="21"/>
          <w:szCs w:val="21"/>
          <w:highlight w:val="white"/>
          <w:rtl w:val="0"/>
        </w:rPr>
        <w:t xml:space="preserve">not </w:t>
      </w:r>
      <w:r w:rsidDel="00000000" w:rsidR="00000000" w:rsidRPr="00000000">
        <w:rPr>
          <w:rFonts w:ascii="Droid Sans" w:cs="Droid Sans" w:eastAsia="Droid Sans" w:hAnsi="Droid Sans"/>
          <w:sz w:val="21"/>
          <w:szCs w:val="21"/>
          <w:highlight w:val="white"/>
          <w:rtl w:val="0"/>
        </w:rPr>
        <w:t xml:space="preserve">be published in the conference’s proceedings, given that they are already published in TOCE.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chi.acm.org/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