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A565D2">
      <w:pPr>
        <w:pStyle w:val="Heading1"/>
        <w:tabs>
          <w:tab w:val="clear" w:pos="360"/>
          <w:tab w:val="clear" w:pos="1980"/>
          <w:tab w:val="clear" w:pos="3960"/>
        </w:tabs>
        <w:jc w:val="left"/>
        <w:rPr>
          <w:lang w:val="id-ID"/>
        </w:rPr>
      </w:pPr>
      <w:r>
        <w:rPr>
          <w:lang w:val="id-ID"/>
        </w:rPr>
        <w:t xml:space="preserve">             </w:t>
      </w:r>
      <w:r>
        <w:t xml:space="preserve"> PEKERJAAN </w:t>
      </w:r>
      <w:r w:rsidR="009D5852">
        <w:t>#namapengadaan#</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 xml:space="preserve">BAB   I. </w:t>
      </w:r>
      <w:r>
        <w:rPr>
          <w:rFonts w:ascii="Tahoma" w:hAnsi="Tahoma"/>
          <w:b/>
          <w:sz w:val="22"/>
        </w:rPr>
        <w:tab/>
        <w:t>RENCANA KERJA.</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untuk PT PLN (Persero) PUSAT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374BCD" w:rsidRDefault="00374BCD" w:rsidP="00374BCD">
      <w:pPr>
        <w:pStyle w:val="BodyTextIndent"/>
        <w:spacing w:line="280" w:lineRule="atLeast"/>
        <w:rPr>
          <w:rFonts w:ascii="Tahoma" w:hAnsi="Tahoma"/>
        </w:rPr>
      </w:pPr>
      <w:r>
        <w:rPr>
          <w:rFonts w:ascii="Tahoma" w:hAnsi="Tahoma"/>
        </w:rPr>
        <w:t xml:space="preserve">Tanggal  : </w:t>
      </w:r>
      <w:r>
        <w:rPr>
          <w:rFonts w:ascii="Tahoma" w:hAnsi="Tahoma"/>
        </w:rPr>
        <w:tab/>
      </w:r>
      <w:r w:rsidR="001502A6">
        <w:rPr>
          <w:rFonts w:ascii="Tahoma" w:hAnsi="Tahoma"/>
        </w:rPr>
        <w:t>#tanggalpermintaanpenawaran#</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Penjelasan Penunjukan Langsung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1502A6">
        <w:rPr>
          <w:rFonts w:ascii="Tahoma" w:hAnsi="Tahoma"/>
          <w:sz w:val="22"/>
        </w:rPr>
        <w:t>#</w:t>
      </w:r>
      <w:r w:rsidR="00600CD7">
        <w:rPr>
          <w:rFonts w:ascii="Tahoma" w:hAnsi="Tahoma"/>
          <w:sz w:val="22"/>
        </w:rPr>
        <w:t>tanggal</w:t>
      </w:r>
      <w:r w:rsidR="001502A6">
        <w:rPr>
          <w:rFonts w:ascii="Tahoma" w:hAnsi="Tahoma"/>
          <w:sz w:val="22"/>
        </w:rPr>
        <w:t>penunjukanlangsung#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1502A6">
        <w:rPr>
          <w:rFonts w:ascii="Tahoma" w:hAnsi="Tahoma"/>
          <w:sz w:val="22"/>
        </w:rPr>
        <w:t>#waktupenunjukanlangsung#</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1502A6">
        <w:rPr>
          <w:rFonts w:ascii="Tahoma" w:hAnsi="Tahoma"/>
          <w:sz w:val="22"/>
        </w:rPr>
        <w:t>#tempatpenunjukanlangsung#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Penyampaian Surat Penawaran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600CD7">
        <w:rPr>
          <w:rFonts w:ascii="Tahoma" w:hAnsi="Tahoma"/>
          <w:sz w:val="22"/>
        </w:rPr>
        <w:t>tanggalawalpemasukansuratpenawaran#</w:t>
      </w:r>
      <w:r>
        <w:rPr>
          <w:rFonts w:ascii="Tahoma" w:hAnsi="Tahoma"/>
          <w:sz w:val="22"/>
        </w:rPr>
        <w:t xml:space="preserve"> s.d </w:t>
      </w:r>
      <w:r w:rsidR="00600CD7">
        <w:rPr>
          <w:rFonts w:ascii="Tahoma" w:hAnsi="Tahoma"/>
          <w:sz w:val="22"/>
        </w:rPr>
        <w:t>#tanggalakhirpemasukansuratpenawaran#</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234895">
        <w:rPr>
          <w:rFonts w:ascii="Tahoma" w:hAnsi="Tahoma"/>
          <w:sz w:val="22"/>
        </w:rPr>
        <w:t>#</w:t>
      </w:r>
      <w:r w:rsidR="00234895" w:rsidRPr="00234895">
        <w:rPr>
          <w:rFonts w:ascii="Tahoma" w:hAnsi="Tahoma"/>
          <w:sz w:val="22"/>
        </w:rPr>
        <w:t xml:space="preserve"> </w:t>
      </w:r>
      <w:r w:rsidR="00234895">
        <w:rPr>
          <w:rFonts w:ascii="Tahoma" w:hAnsi="Tahoma"/>
          <w:sz w:val="22"/>
        </w:rPr>
        <w:t>waktupemasukansuratpenawaran#</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234895">
        <w:rPr>
          <w:rFonts w:ascii="Tahoma" w:hAnsi="Tahoma"/>
          <w:sz w:val="22"/>
        </w:rPr>
        <w:t>#tempatpemasukansuratpenawaran#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#tanggalnegosiasidanklarifikasi#</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762314">
        <w:rPr>
          <w:rFonts w:ascii="Tahoma" w:hAnsi="Tahoma"/>
          <w:sz w:val="22"/>
        </w:rPr>
        <w:t>#waktunegosiasidanklarifikasi#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#tanggalpenunjukanpemenang#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762314">
        <w:rPr>
          <w:rFonts w:ascii="Tahoma" w:hAnsi="Tahoma"/>
          <w:sz w:val="22"/>
        </w:rPr>
        <w:t>#waktupenunjukanpemenang#</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762314">
        <w:rPr>
          <w:rFonts w:ascii="Tahoma" w:hAnsi="Tahoma"/>
          <w:sz w:val="22"/>
        </w:rPr>
        <w:t>#tempatpenunjukanpemenang#</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374BCD" w:rsidRDefault="00374BCD" w:rsidP="00374BCD">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374BCD" w:rsidRDefault="00374BCD" w:rsidP="00374BCD">
      <w:pPr>
        <w:spacing w:line="280" w:lineRule="atLeast"/>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374BCD" w:rsidRDefault="00374BCD" w:rsidP="00374BCD">
      <w:pPr>
        <w:spacing w:line="280" w:lineRule="atLeast"/>
        <w:ind w:left="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374BCD" w:rsidRDefault="00374BCD" w:rsidP="00374BCD">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374BCD" w:rsidRDefault="00374BCD" w:rsidP="00374BCD">
      <w:pPr>
        <w:spacing w:line="280" w:lineRule="atLeast"/>
        <w:ind w:left="2160"/>
        <w:jc w:val="both"/>
        <w:rPr>
          <w:rFonts w:ascii="Tahoma" w:hAnsi="Tahoma"/>
          <w:sz w:val="22"/>
        </w:rPr>
      </w:pPr>
      <w:r>
        <w:rPr>
          <w:rFonts w:ascii="Tahoma" w:hAnsi="Tahoma"/>
          <w:sz w:val="22"/>
        </w:rPr>
        <w:t>Sistem Penunjukan Langsung ini adalah 1 (satu) sampul.</w:t>
      </w:r>
    </w:p>
    <w:p w:rsidR="00374BCD" w:rsidRDefault="00374BCD" w:rsidP="00374BCD">
      <w:pPr>
        <w:spacing w:line="280" w:lineRule="atLeast"/>
        <w:ind w:left="1980" w:hanging="450"/>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374BCD" w:rsidRDefault="00374BCD" w:rsidP="00374BCD">
      <w:pPr>
        <w:pStyle w:val="BodyTextIndent"/>
        <w:spacing w:line="280" w:lineRule="atLeast"/>
        <w:rPr>
          <w:rFonts w:ascii="Tahoma" w:hAnsi="Tahoma"/>
        </w:rPr>
      </w:pPr>
      <w:r>
        <w:rPr>
          <w:rFonts w:ascii="Tahoma" w:hAnsi="Tahoma"/>
        </w:rPr>
        <w:t>Penunjukan Langsung Nomor : ............................ tanggal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374BCD" w:rsidRDefault="00374BCD" w:rsidP="00374BCD">
      <w:pPr>
        <w:spacing w:line="280" w:lineRule="atLeast"/>
        <w:ind w:left="1656"/>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Kopi-kopi surat tersebut di atas bila diperlukan, PT PLN (Persero) PUSAT berhak melihat aslinya.</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374BCD" w:rsidRDefault="00374BCD" w:rsidP="00374BCD">
      <w:pPr>
        <w:spacing w:line="280" w:lineRule="atLeast"/>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Pr="00F45B75" w:rsidRDefault="00374BCD" w:rsidP="00374BCD">
      <w:pPr>
        <w:spacing w:line="280" w:lineRule="atLeast"/>
        <w:ind w:left="2160" w:hanging="2160"/>
        <w:jc w:val="both"/>
        <w:rPr>
          <w:rFonts w:ascii="Tahoma" w:hAnsi="Tahoma"/>
          <w:sz w:val="22"/>
          <w:lang w:val="id-ID"/>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374BCD" w:rsidRDefault="00374BCD" w:rsidP="00374BCD">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Pr="001D3416"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374BCD" w:rsidRPr="006E037F" w:rsidRDefault="00374BCD" w:rsidP="00374BCD">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374BCD" w:rsidRDefault="00374BCD" w:rsidP="00374BCD">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374BCD" w:rsidRPr="00D54B02" w:rsidRDefault="00374BCD" w:rsidP="00374BCD">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374BCD" w:rsidRDefault="00374BCD" w:rsidP="00374BCD">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374BCD" w:rsidRDefault="00374BCD" w:rsidP="00374BCD">
      <w:pPr>
        <w:pStyle w:val="BodyTextIndent"/>
        <w:spacing w:line="280" w:lineRule="atLeast"/>
        <w:rPr>
          <w:rFonts w:ascii="Tahoma" w:hAnsi="Tahoma"/>
        </w:rPr>
      </w:pPr>
      <w:r>
        <w:rPr>
          <w:rFonts w:ascii="Tahoma" w:hAnsi="Tahoma"/>
        </w:rPr>
        <w:t>................................................. (isi syarat pembayaran disesuaikan dengan aturan dan kebutuhan yang berlaku).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374BCD" w:rsidRDefault="00374BCD" w:rsidP="00374BCD">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374BCD" w:rsidRDefault="00374BCD" w:rsidP="00374BCD">
      <w:pPr>
        <w:spacing w:line="280" w:lineRule="atLeast"/>
        <w:ind w:left="2520" w:hanging="2520"/>
        <w:jc w:val="both"/>
        <w:rPr>
          <w:rFonts w:ascii="Tahoma" w:hAnsi="Tahoma"/>
          <w:sz w:val="22"/>
        </w:rPr>
      </w:pPr>
      <w:r>
        <w:rPr>
          <w:rFonts w:ascii="Tahoma" w:hAnsi="Tahoma"/>
          <w:sz w:val="22"/>
        </w:rPr>
        <w:tab/>
      </w: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374BCD" w:rsidRDefault="00374BCD" w:rsidP="00374BCD">
      <w:pPr>
        <w:spacing w:line="280" w:lineRule="atLeast"/>
        <w:ind w:left="1530" w:hanging="1530"/>
        <w:jc w:val="both"/>
        <w:rPr>
          <w:rFonts w:ascii="Tahoma" w:hAnsi="Tahoma"/>
          <w:sz w:val="22"/>
        </w:rPr>
      </w:pPr>
    </w:p>
    <w:p w:rsidR="00374BCD" w:rsidRDefault="00374BCD" w:rsidP="00374BCD">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374BCD" w:rsidRDefault="00374BCD" w:rsidP="00374BCD">
      <w:pPr>
        <w:pStyle w:val="BodyTextIndent2"/>
        <w:spacing w:line="280" w:lineRule="atLeast"/>
        <w:ind w:left="1656"/>
        <w:rPr>
          <w:rFonts w:ascii="Tahoma" w:hAnsi="Tahoma"/>
        </w:rPr>
      </w:pPr>
    </w:p>
    <w:p w:rsidR="00374BCD" w:rsidRDefault="00374BCD" w:rsidP="00374BCD">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374BCD" w:rsidRDefault="00374BCD" w:rsidP="00374BCD">
      <w:pPr>
        <w:pStyle w:val="BodyTextIndent2"/>
        <w:spacing w:line="280" w:lineRule="atLeast"/>
        <w:ind w:left="0"/>
        <w:rPr>
          <w:rFonts w:ascii="Tahoma" w:hAnsi="Tahoma"/>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374BCD" w:rsidRDefault="00374BCD" w:rsidP="00374BCD">
      <w:pPr>
        <w:spacing w:line="280" w:lineRule="atLeast"/>
        <w:ind w:left="1530" w:hanging="1530"/>
        <w:jc w:val="both"/>
        <w:rPr>
          <w:rFonts w:ascii="Tahoma" w:hAnsi="Tahoma"/>
          <w:sz w:val="22"/>
        </w:rPr>
      </w:pPr>
    </w:p>
    <w:p w:rsidR="00374BCD" w:rsidRPr="001D3416" w:rsidRDefault="00374BCD" w:rsidP="00374BCD">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374BCD" w:rsidRDefault="00374BCD" w:rsidP="00374BCD">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374BCD" w:rsidRDefault="00374BCD" w:rsidP="00374BCD">
      <w:pPr>
        <w:spacing w:line="280" w:lineRule="atLeast"/>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374BCD" w:rsidRDefault="00374BCD" w:rsidP="00374BCD">
      <w:pPr>
        <w:spacing w:line="280" w:lineRule="atLeast"/>
        <w:ind w:left="2070" w:hanging="2070"/>
        <w:jc w:val="both"/>
        <w:rPr>
          <w:rFonts w:ascii="Tahoma" w:hAnsi="Tahoma"/>
          <w:sz w:val="22"/>
        </w:rPr>
      </w:pPr>
      <w:r>
        <w:rPr>
          <w:rFonts w:ascii="Tahoma" w:hAnsi="Tahoma"/>
          <w:sz w:val="22"/>
        </w:rPr>
        <w:tab/>
      </w: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Tujuan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Tujuan jasa borongan pekerjaan </w:t>
      </w:r>
      <w:r w:rsidRPr="008523A1">
        <w:rPr>
          <w:rFonts w:ascii="Tahoma" w:hAnsi="Tahoma"/>
          <w:highlight w:val="yellow"/>
        </w:rPr>
        <w:t>..................</w:t>
      </w:r>
      <w:r>
        <w:rPr>
          <w:rFonts w:ascii="Tahoma" w:hAnsi="Tahoma"/>
        </w:rPr>
        <w:t xml:space="preserve"> ini adalah </w:t>
      </w:r>
      <w:r w:rsidRPr="008523A1">
        <w:rPr>
          <w:rFonts w:ascii="Tahoma" w:hAnsi="Tahoma"/>
          <w:highlight w:val="yellow"/>
        </w:rPr>
        <w: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Lingkup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Jasa borongan pekerjaan ..., meliputi pekerjaan-pekerjaan  sebagai berikut :</w:t>
      </w:r>
    </w:p>
    <w:p w:rsidR="00374BCD" w:rsidRDefault="00374BCD" w:rsidP="00374BCD">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374BCD" w:rsidRDefault="00374BCD" w:rsidP="00374BCD">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374BCD" w:rsidRDefault="00374BCD" w:rsidP="00374BCD">
      <w:pPr>
        <w:spacing w:line="280" w:lineRule="atLeast"/>
        <w:ind w:left="1980" w:hanging="1980"/>
        <w:jc w:val="both"/>
        <w:rPr>
          <w:rFonts w:ascii="Tahoma" w:hAnsi="Tahoma"/>
          <w:b/>
          <w:sz w:val="22"/>
        </w:rPr>
      </w:pPr>
    </w:p>
    <w:p w:rsidR="00374BCD" w:rsidRDefault="00374BCD" w:rsidP="00374BCD">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w:t>
      </w: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374BCD" w:rsidRDefault="00374BCD" w:rsidP="00374BCD">
      <w:pPr>
        <w:spacing w:line="280" w:lineRule="atLeast"/>
        <w:ind w:left="1980" w:hanging="1980"/>
        <w:jc w:val="both"/>
        <w:rPr>
          <w:rFonts w:ascii="Tahoma" w:hAnsi="Tahoma"/>
          <w:sz w:val="22"/>
        </w:rPr>
      </w:pPr>
      <w:r>
        <w:rPr>
          <w:rFonts w:ascii="Tahoma" w:hAnsi="Tahoma"/>
          <w:sz w:val="22"/>
        </w:rPr>
        <w:t xml:space="preserve"> </w:t>
      </w: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374BCD" w:rsidRDefault="00374BCD" w:rsidP="00374BCD">
      <w:pPr>
        <w:spacing w:line="280" w:lineRule="atLeast"/>
        <w:ind w:left="1980" w:hanging="1980"/>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374BCD" w:rsidRDefault="00374BCD" w:rsidP="00374BCD">
      <w:pPr>
        <w:spacing w:line="280" w:lineRule="atLeast"/>
        <w:ind w:left="1224"/>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sz w:val="22"/>
        </w:rPr>
        <w:tab/>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374BCD" w:rsidRDefault="00374BCD" w:rsidP="00374BCD">
      <w:pPr>
        <w:spacing w:line="280" w:lineRule="atLeast"/>
        <w:ind w:left="1080" w:hanging="1080"/>
        <w:jc w:val="both"/>
        <w:rPr>
          <w:rFonts w:ascii="Tahoma" w:hAnsi="Tahoma"/>
          <w:b/>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tenaga listrik.</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air.</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374BCD" w:rsidRDefault="00374BCD" w:rsidP="00374BCD">
      <w:pPr>
        <w:spacing w:line="280" w:lineRule="atLeast"/>
        <w:ind w:left="1440" w:hanging="36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menyediakan fasilitas kesehatan antara lain obat-obatan untuk PPPK serta taat dan memenuhi peraturan-peraturan dari Badan-badan yang mengatur kesehatan.</w:t>
      </w:r>
    </w:p>
    <w:p w:rsidR="00374BCD" w:rsidRDefault="00374BCD" w:rsidP="00374BCD">
      <w:pPr>
        <w:spacing w:line="280" w:lineRule="atLeast"/>
        <w:ind w:left="1620"/>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berkewajiban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374BCD" w:rsidRDefault="00374BCD" w:rsidP="00374BCD">
      <w:pPr>
        <w:numPr>
          <w:ilvl w:val="12"/>
          <w:numId w:val="0"/>
        </w:numPr>
        <w:spacing w:line="280" w:lineRule="atLeast"/>
        <w:ind w:left="1440" w:hanging="36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 xml:space="preserve">Bila perubahan yang mengakibatkan pengurangan volume pekerjaan dari volume pekerjaan yang telah ditentukan, maka pengurangan ini tidak dapat </w:t>
      </w:r>
      <w:r>
        <w:rPr>
          <w:rFonts w:ascii="Tahoma" w:hAnsi="Tahoma"/>
          <w:sz w:val="22"/>
        </w:rPr>
        <w:lastRenderedPageBreak/>
        <w:t>dipakai sebagai dasar tuntutan ganti rugi atau tuntutan atas hilangnya keuntungan yang disebabkan oleh pengurangan volume pekerjaan tersebut.</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374BCD" w:rsidRDefault="00374BCD" w:rsidP="00374BCD">
      <w:pPr>
        <w:spacing w:line="280" w:lineRule="atLeast"/>
        <w:ind w:left="900" w:hanging="1440"/>
        <w:jc w:val="both"/>
        <w:rPr>
          <w:rFonts w:ascii="Tahoma" w:hAnsi="Tahoma"/>
          <w:sz w:val="22"/>
        </w:rPr>
      </w:pPr>
      <w:r>
        <w:rPr>
          <w:rFonts w:ascii="Tahoma" w:hAnsi="Tahoma"/>
          <w:sz w:val="22"/>
        </w:rPr>
        <w:tab/>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Epidemi.</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374BCD" w:rsidRDefault="00374BCD" w:rsidP="00374BCD">
      <w:pPr>
        <w:spacing w:line="280" w:lineRule="atLeast"/>
        <w:ind w:left="1224"/>
        <w:jc w:val="both"/>
        <w:rPr>
          <w:rFonts w:ascii="Tahoma" w:hAnsi="Tahoma"/>
          <w:sz w:val="22"/>
        </w:rPr>
      </w:pP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BAB XII.</w:t>
      </w:r>
      <w:r>
        <w:rPr>
          <w:rFonts w:ascii="Tahoma" w:hAnsi="Tahoma"/>
          <w:b/>
          <w:sz w:val="22"/>
        </w:rPr>
        <w:tab/>
        <w:t>PERPANJANGAN WAKTU PENYERAHAN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berhak menguasai dan menggunakan bahan/barang/peralatan yang ada ditempat pekerjaan guna menyelesaikan pekerjaan tersebut dan khusus untuk pekerjaan bangunan diberlakukan AV 41.</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374BCD" w:rsidRDefault="00374BCD" w:rsidP="00374BCD">
      <w:pPr>
        <w:spacing w:line="280" w:lineRule="atLeast"/>
        <w:ind w:left="1080" w:hanging="108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374BCD" w:rsidRDefault="00374BCD" w:rsidP="00374BCD">
      <w:pPr>
        <w:spacing w:line="280" w:lineRule="atLeast"/>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374BCD" w:rsidRDefault="00374BCD" w:rsidP="00374BCD">
      <w:pPr>
        <w:spacing w:line="280" w:lineRule="atLeast"/>
        <w:ind w:left="1620" w:hanging="1620"/>
        <w:jc w:val="both"/>
        <w:rPr>
          <w:rFonts w:ascii="Tahoma" w:hAnsi="Tahoma"/>
          <w:b/>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ASURANSI</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lastRenderedPageBreak/>
        <w:t>Kontraktor harus mengadakan penutupan/menanggung asuransi terhadap semua resiko yang mungkin akan dihadapi yang berkaitan dengan pelaksanaan pekerjaan mulai dari masa konstruksi sampai selesai seluruh pekerjaan dan selesainya masa pemeliharaan.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IJIN-IJIN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374BCD" w:rsidRDefault="00374BCD" w:rsidP="00374BCD">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374BCD" w:rsidRDefault="00374BCD" w:rsidP="00374BCD">
      <w:pPr>
        <w:spacing w:line="280" w:lineRule="atLeast"/>
        <w:ind w:left="2070" w:hanging="1440"/>
        <w:jc w:val="both"/>
        <w:rPr>
          <w:rFonts w:ascii="Tahoma" w:hAnsi="Tahoma"/>
          <w:b/>
          <w:sz w:val="22"/>
        </w:rPr>
      </w:pPr>
      <w:r>
        <w:rPr>
          <w:rFonts w:ascii="Tahoma" w:hAnsi="Tahoma"/>
          <w:b/>
          <w:sz w:val="22"/>
        </w:rPr>
        <w:tab/>
      </w:r>
    </w:p>
    <w:p w:rsidR="00374BCD" w:rsidRDefault="00374BCD" w:rsidP="00374BCD">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374BCD" w:rsidRDefault="00374BCD" w:rsidP="00374BCD">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374BCD" w:rsidRDefault="00374BCD" w:rsidP="00374BCD">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374BCD" w:rsidRDefault="00374BCD" w:rsidP="00374BCD">
      <w:pPr>
        <w:spacing w:line="280" w:lineRule="atLeast"/>
        <w:ind w:left="990" w:hanging="99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lastRenderedPageBreak/>
        <w:t>Surat penawaran tidak ditandatangani oleh Pimpinan/Direktur Utama atau penerima kuasa dari Direktur Utama kepada nama yang tercantum didalam akte pendirian perusahaan/perubahannya sesuai BAB II butir 3.8 RKS ini.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374BCD" w:rsidRDefault="00374BCD" w:rsidP="00374BCD">
      <w:pPr>
        <w:spacing w:line="280" w:lineRule="atLeast"/>
        <w:ind w:left="1980" w:hanging="162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080"/>
        <w:jc w:val="both"/>
        <w:rPr>
          <w:rFonts w:ascii="Tahoma" w:hAnsi="Tahoma"/>
          <w:sz w:val="22"/>
        </w:rPr>
      </w:pPr>
      <w:r>
        <w:rPr>
          <w:rFonts w:ascii="Tahoma" w:hAnsi="Tahoma"/>
          <w:sz w:val="22"/>
        </w:rPr>
        <w:lastRenderedPageBreak/>
        <w:t>Perubahan atau penambahan atas hal-hal lain yang belum tercakup dalam RKS ini, akan dicantumkan dalam Berita Acara Penjelasan Penunjukan Langsung yang  merupakan bagian yang tidak terpisahkan dari RKS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990" w:hanging="990"/>
        <w:jc w:val="center"/>
        <w:rPr>
          <w:rFonts w:ascii="Tahoma" w:hAnsi="Tahoma"/>
          <w:b/>
          <w:sz w:val="22"/>
        </w:rPr>
      </w:pPr>
      <w:r>
        <w:rPr>
          <w:rFonts w:ascii="Tahoma" w:hAnsi="Tahoma"/>
          <w:b/>
          <w:sz w:val="22"/>
        </w:rPr>
        <w:t>……………..,  …………………………..</w:t>
      </w:r>
    </w:p>
    <w:p w:rsidR="00374BCD" w:rsidRDefault="00374BCD" w:rsidP="00374BCD">
      <w:pPr>
        <w:spacing w:line="280" w:lineRule="atLeast"/>
        <w:ind w:left="990" w:hanging="990"/>
        <w:jc w:val="both"/>
        <w:rPr>
          <w:rFonts w:ascii="Tahoma" w:hAnsi="Tahoma"/>
          <w:b/>
          <w:sz w:val="22"/>
        </w:rPr>
      </w:pPr>
    </w:p>
    <w:p w:rsidR="00374BCD" w:rsidRDefault="00374BCD" w:rsidP="00374BCD">
      <w:pPr>
        <w:spacing w:line="280" w:lineRule="atLeast"/>
        <w:ind w:left="990" w:hanging="990"/>
        <w:jc w:val="both"/>
        <w:rPr>
          <w:rFonts w:ascii="Tahoma" w:hAnsi="Tahoma"/>
          <w:b/>
          <w:sz w:val="22"/>
        </w:rPr>
      </w:pPr>
    </w:p>
    <w:p w:rsidR="00374BCD" w:rsidRDefault="00374BCD" w:rsidP="00374BCD">
      <w:pPr>
        <w:pStyle w:val="Heading1"/>
        <w:spacing w:line="280" w:lineRule="atLeast"/>
        <w:rPr>
          <w:rFonts w:ascii="Tahoma" w:hAnsi="Tahoma"/>
        </w:rPr>
      </w:pPr>
      <w:r>
        <w:rPr>
          <w:rFonts w:ascii="Tahoma" w:hAnsi="Tahoma"/>
        </w:rPr>
        <w:t>PANITIA PENGADAAN BARANG / JASA</w:t>
      </w:r>
    </w:p>
    <w:p w:rsidR="00374BCD" w:rsidRDefault="00374BCD" w:rsidP="00374BCD">
      <w:pPr>
        <w:pStyle w:val="Heading2"/>
        <w:spacing w:line="280" w:lineRule="atLeast"/>
        <w:rPr>
          <w:rFonts w:ascii="Tahoma" w:hAnsi="Tahoma"/>
        </w:rPr>
      </w:pPr>
      <w:r>
        <w:rPr>
          <w:rFonts w:ascii="Tahoma" w:hAnsi="Tahoma"/>
        </w:rPr>
        <w:t>PT PLN (PERSERO) PUSAT</w:t>
      </w: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rPr>
        <w:t>MENGESAHKAN,</w:t>
      </w:r>
    </w:p>
    <w:p w:rsidR="00374BCD" w:rsidRDefault="00374BCD" w:rsidP="00374BCD">
      <w:pPr>
        <w:spacing w:line="280" w:lineRule="atLeast"/>
        <w:jc w:val="center"/>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Pr="00CF285A" w:rsidRDefault="00374BCD" w:rsidP="00374BCD">
      <w:pPr>
        <w:tabs>
          <w:tab w:val="left" w:pos="1260"/>
        </w:tabs>
        <w:spacing w:line="280" w:lineRule="atLeast"/>
        <w:ind w:left="1260" w:hanging="1260"/>
        <w:jc w:val="center"/>
        <w:rPr>
          <w:rFonts w:ascii="Tahoma" w:hAnsi="Tahoma"/>
          <w:sz w:val="22"/>
        </w:rPr>
      </w:pPr>
      <w:r>
        <w:rPr>
          <w:rFonts w:ascii="Tahoma" w:hAnsi="Tahoma"/>
          <w:sz w:val="22"/>
        </w:rPr>
        <w:t>………………………………….</w:t>
      </w:r>
    </w:p>
    <w:p w:rsidR="005C03C9" w:rsidRDefault="005C03C9">
      <w:pPr>
        <w:spacing w:after="200" w:line="276" w:lineRule="auto"/>
        <w:rPr>
          <w:b/>
          <w:i/>
          <w:sz w:val="28"/>
          <w:u w:val="single"/>
        </w:rPr>
      </w:pPr>
      <w:r>
        <w:rPr>
          <w:b/>
          <w:i/>
          <w:sz w:val="28"/>
          <w:u w:val="single"/>
        </w:rPr>
        <w:br w:type="page"/>
      </w:r>
    </w:p>
    <w:p w:rsidR="00A565D2" w:rsidRDefault="00A565D2" w:rsidP="00A565D2">
      <w:pPr>
        <w:tabs>
          <w:tab w:val="left" w:pos="1080"/>
          <w:tab w:val="left" w:pos="5760"/>
        </w:tabs>
        <w:jc w:val="both"/>
        <w:rPr>
          <w:sz w:val="22"/>
        </w:rPr>
      </w:pPr>
      <w:r>
        <w:rPr>
          <w:sz w:val="22"/>
        </w:rPr>
        <w:lastRenderedPageBreak/>
        <w:t>Nomor</w:t>
      </w:r>
      <w:r>
        <w:rPr>
          <w:sz w:val="22"/>
        </w:rPr>
        <w:tab/>
        <w:t xml:space="preserve">: </w:t>
      </w:r>
      <w:r>
        <w:rPr>
          <w:sz w:val="22"/>
        </w:rPr>
        <w:tab/>
      </w:r>
      <w:r w:rsidR="00571235">
        <w:rPr>
          <w:sz w:val="22"/>
        </w:rPr>
        <w:t>.............</w:t>
      </w:r>
      <w:r>
        <w:rPr>
          <w:sz w:val="22"/>
        </w:rPr>
        <w:t xml:space="preserve">, </w:t>
      </w:r>
      <w:r w:rsidR="00571235">
        <w:rPr>
          <w:sz w:val="22"/>
        </w:rPr>
        <w:t>..................</w:t>
      </w:r>
    </w:p>
    <w:p w:rsidR="00A565D2" w:rsidRDefault="00A565D2" w:rsidP="00A565D2">
      <w:pPr>
        <w:tabs>
          <w:tab w:val="left" w:pos="1080"/>
          <w:tab w:val="left" w:pos="5760"/>
        </w:tabs>
        <w:jc w:val="both"/>
        <w:rPr>
          <w:sz w:val="22"/>
        </w:rPr>
      </w:pPr>
      <w:r>
        <w:rPr>
          <w:sz w:val="22"/>
        </w:rPr>
        <w:t>Lampiran</w:t>
      </w:r>
      <w:r>
        <w:rPr>
          <w:sz w:val="22"/>
        </w:rPr>
        <w:tab/>
        <w:t>:</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w:t>
      </w:r>
      <w:r w:rsidR="00571235">
        <w:rPr>
          <w:sz w:val="22"/>
        </w:rPr>
        <w:t>........................</w:t>
      </w:r>
      <w:r>
        <w:rPr>
          <w:sz w:val="22"/>
        </w:rPr>
        <w:t>,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xml:space="preserve">: </w:t>
      </w:r>
      <w:r>
        <w:rPr>
          <w:sz w:val="22"/>
        </w:rPr>
        <w:tab/>
        <w:t xml:space="preserve">  </w:t>
      </w:r>
      <w:r>
        <w:rPr>
          <w:sz w:val="22"/>
        </w:rPr>
        <w:tab/>
      </w:r>
      <w:r w:rsidR="00571235">
        <w:rPr>
          <w:sz w:val="22"/>
        </w:rPr>
        <w:tab/>
      </w:r>
      <w:r w:rsidR="00571235">
        <w:rPr>
          <w:sz w:val="22"/>
        </w:rPr>
        <w:tab/>
      </w:r>
      <w:r>
        <w:rPr>
          <w:sz w:val="22"/>
        </w:rPr>
        <w:tab/>
      </w:r>
      <w:r w:rsidR="007D2BE6">
        <w:rPr>
          <w:sz w:val="22"/>
        </w:rPr>
        <w:tab/>
      </w:r>
      <w:r w:rsidR="007D2BE6">
        <w:rPr>
          <w:sz w:val="22"/>
        </w:rPr>
        <w:tab/>
      </w:r>
      <w:r>
        <w:rPr>
          <w:sz w:val="22"/>
        </w:rPr>
        <w:t>Tanggal</w:t>
      </w:r>
      <w:r>
        <w:rPr>
          <w:sz w:val="22"/>
        </w:rPr>
        <w:tab/>
        <w:t>:</w:t>
      </w:r>
      <w:r w:rsidR="00571235">
        <w:rPr>
          <w:sz w:val="22"/>
        </w:rPr>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Default="00A565D2">
      <w:pPr>
        <w:spacing w:after="200" w:line="276" w:lineRule="auto"/>
      </w:pPr>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571235">
            <w:pPr>
              <w:jc w:val="center"/>
              <w:rPr>
                <w:rFonts w:cs="Arial"/>
                <w:b/>
                <w:bCs/>
                <w:sz w:val="22"/>
                <w:szCs w:val="22"/>
              </w:rPr>
            </w:pPr>
            <w:r w:rsidRPr="00A565D2">
              <w:rPr>
                <w:rFonts w:cs="Arial"/>
                <w:b/>
                <w:bCs/>
                <w:sz w:val="22"/>
                <w:szCs w:val="22"/>
              </w:rPr>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 w:val="22"/>
                <w:szCs w:val="22"/>
              </w:rPr>
            </w:pPr>
            <w:r w:rsidRPr="00A565D2">
              <w:rPr>
                <w:rFonts w:cs="Arial"/>
                <w:b/>
                <w:bCs/>
                <w:sz w:val="22"/>
                <w:szCs w:val="22"/>
              </w:rPr>
              <w:t xml:space="preserve">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 w:val="22"/>
                <w:szCs w:val="22"/>
              </w:rPr>
            </w:pPr>
            <w:r w:rsidRPr="00A565D2">
              <w:rPr>
                <w:rFonts w:cs="Arial"/>
                <w:b/>
                <w:bCs/>
                <w:sz w:val="22"/>
                <w:szCs w:val="22"/>
              </w:rPr>
              <w:t xml:space="preserve">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lastRenderedPageBreak/>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Nomor   : </w:t>
            </w:r>
            <w:bookmarkStart w:id="0" w:name="_GoBack"/>
            <w:bookmarkEnd w:id="0"/>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Pr="00374BCD" w:rsidRDefault="00A565D2" w:rsidP="00374BCD">
      <w:pPr>
        <w:spacing w:after="200" w:line="276" w:lineRule="auto"/>
      </w:pPr>
    </w:p>
    <w:sectPr w:rsidR="00A565D2" w:rsidRPr="00374BCD">
      <w:headerReference w:type="even" r:id="rId8"/>
      <w:headerReference w:type="default" r:id="rId9"/>
      <w:footerReference w:type="default" r:id="rId10"/>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8D9" w:rsidRDefault="00A218D9">
      <w:r>
        <w:separator/>
      </w:r>
    </w:p>
  </w:endnote>
  <w:endnote w:type="continuationSeparator" w:id="0">
    <w:p w:rsidR="00A218D9" w:rsidRDefault="00A2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A21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8D9" w:rsidRDefault="00A218D9">
      <w:r>
        <w:separator/>
      </w:r>
    </w:p>
  </w:footnote>
  <w:footnote w:type="continuationSeparator" w:id="0">
    <w:p w:rsidR="00A218D9" w:rsidRDefault="00A21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A218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218D9">
    <w:pPr>
      <w:pStyle w:val="Header"/>
    </w:pPr>
  </w:p>
  <w:p w:rsidR="007F31A1" w:rsidRDefault="00A21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00091"/>
    <w:rsid w:val="00041FA4"/>
    <w:rsid w:val="000A5F52"/>
    <w:rsid w:val="001502A6"/>
    <w:rsid w:val="00234895"/>
    <w:rsid w:val="00321E21"/>
    <w:rsid w:val="00374BCD"/>
    <w:rsid w:val="003918CD"/>
    <w:rsid w:val="00484B87"/>
    <w:rsid w:val="004F51BF"/>
    <w:rsid w:val="00571235"/>
    <w:rsid w:val="005C03C9"/>
    <w:rsid w:val="00600CD7"/>
    <w:rsid w:val="00605687"/>
    <w:rsid w:val="00640768"/>
    <w:rsid w:val="00762314"/>
    <w:rsid w:val="007D2BE6"/>
    <w:rsid w:val="007E624D"/>
    <w:rsid w:val="008523A1"/>
    <w:rsid w:val="008B5000"/>
    <w:rsid w:val="009D5852"/>
    <w:rsid w:val="009F0A84"/>
    <w:rsid w:val="00A218D9"/>
    <w:rsid w:val="00A565D2"/>
    <w:rsid w:val="00AC78A5"/>
    <w:rsid w:val="00B6637C"/>
    <w:rsid w:val="00CF285A"/>
    <w:rsid w:val="00D970E5"/>
    <w:rsid w:val="00DE516E"/>
    <w:rsid w:val="00DF7084"/>
    <w:rsid w:val="00F0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28</Pages>
  <Words>7010</Words>
  <Characters>39961</Characters>
  <Application>Microsoft Office Word</Application>
  <DocSecurity>0</DocSecurity>
  <Lines>333</Lines>
  <Paragraphs>93</Paragraphs>
  <ScaleCrop>false</ScaleCrop>
  <Company>home</Company>
  <LinksUpToDate>false</LinksUpToDate>
  <CharactersWithSpaces>46878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25</cp:revision>
  <dcterms:created xsi:type="dcterms:W3CDTF">2013-06-25T04:44:00Z</dcterms:created>
  <dcterms:modified xsi:type="dcterms:W3CDTF">2013-06-25T16:43:00Z</dcterms:modified>
</cp:coreProperties>
</file>