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Arial" w:hAnsi="Arial" w:eastAsia="宋体" w:cs="Arial"/>
          <w:i w:val="0"/>
          <w:caps w:val="0"/>
          <w:color w:val="333333"/>
          <w:spacing w:val="0"/>
          <w:sz w:val="24"/>
          <w:szCs w:val="24"/>
          <w:shd w:val="clear" w:fill="FFFFFF"/>
          <w:lang w:eastAsia="zh-CN"/>
        </w:rPr>
      </w:pPr>
      <w:r>
        <w:rPr>
          <w:rFonts w:hint="eastAsia"/>
          <w:sz w:val="24"/>
          <w:szCs w:val="24"/>
          <w:lang w:val="en-US" w:eastAsia="zh-CN"/>
        </w:rPr>
        <w:t>（1）广播域：</w:t>
      </w:r>
      <w:r>
        <w:rPr>
          <w:rFonts w:hint="eastAsia" w:ascii="Arial" w:hAnsi="Arial" w:eastAsia="宋体" w:cs="Arial"/>
          <w:i w:val="0"/>
          <w:caps w:val="0"/>
          <w:color w:val="333333"/>
          <w:spacing w:val="0"/>
          <w:sz w:val="24"/>
          <w:szCs w:val="24"/>
          <w:shd w:val="clear" w:fill="FFFFFF"/>
        </w:rPr>
        <w:t>广播是一种信息的传播方式，指网络中的某一设备同时向网络中所有的其它设备发送数据，这个数据所能广播到的范围即为广播域</w:t>
      </w:r>
      <w:r>
        <w:rPr>
          <w:rFonts w:hint="eastAsia" w:ascii="Arial" w:hAnsi="Arial" w:eastAsia="宋体" w:cs="Arial"/>
          <w:i w:val="0"/>
          <w:caps w:val="0"/>
          <w:color w:val="333333"/>
          <w:spacing w:val="0"/>
          <w:sz w:val="24"/>
          <w:szCs w:val="24"/>
          <w:shd w:val="clear" w:fill="FFFFFF"/>
          <w:lang w:eastAsia="zh-CN"/>
        </w:rPr>
        <w:t>。如果一个数据报文的目标地址是这个网段的广播地址或者目标计算机的MAC地址是FF-FF-FF-FF-FF-FF，那么这个数据报文就会被这个网段的所有计算机接收并响应，这就叫做广播。通常广播用来进行ARP寻址等用途，但是广播域无法控制也会对网络健康带来严重影响，主要是带宽和网络延迟。这种广播所能覆盖的范围就叫做广播域了，二层的交换机是转发广播的，所以不能分割广播域，而路由器一般不转发广播，所以可以分割或定义广播域。</w:t>
      </w:r>
    </w:p>
    <w:p>
      <w:pPr>
        <w:numPr>
          <w:ilvl w:val="0"/>
          <w:numId w:val="2"/>
        </w:numPr>
        <w:rPr>
          <w:rFonts w:hint="eastAsia" w:ascii="Arial" w:hAnsi="Arial" w:eastAsia="宋体" w:cs="Arial"/>
          <w:i w:val="0"/>
          <w:caps w:val="0"/>
          <w:color w:val="333333"/>
          <w:spacing w:val="0"/>
          <w:sz w:val="24"/>
          <w:szCs w:val="24"/>
          <w:shd w:val="clear" w:fill="FFFFFF"/>
          <w:lang w:eastAsia="zh-CN"/>
        </w:rPr>
      </w:pPr>
      <w:r>
        <w:rPr>
          <w:rFonts w:hint="eastAsia" w:ascii="Arial" w:hAnsi="Arial" w:eastAsia="宋体" w:cs="Arial"/>
          <w:i w:val="0"/>
          <w:caps w:val="0"/>
          <w:color w:val="333333"/>
          <w:spacing w:val="0"/>
          <w:sz w:val="24"/>
          <w:szCs w:val="24"/>
          <w:shd w:val="clear" w:fill="FFFFFF"/>
          <w:lang w:eastAsia="zh-CN"/>
        </w:rPr>
        <w:t>冲突域：冲突域指的是会产生冲突的最小范围，在计算机和计算机通过设备互联时，会建立一条通道，如果这条通道只允许瞬间一个数据报文通过，那么在同时如果有两个或更多的数据报文想从这里通过时就会出现冲突了。冲突域的大小可以衡量设备的性能，多口hub的冲突域也只有一个，即所有的端口上的数据报文都要排队等待通过。而交换机就明显的缩小了冲突域的大小，使到每一个端口都是一个冲突域，即一个或多个端口的高速传输不会影响其它端口的传输，因为所有的数据报文不同都按次序排队通过，而只是到同一端口的数据才要排队。</w:t>
      </w:r>
    </w:p>
    <w:p>
      <w:pPr>
        <w:numPr>
          <w:ilvl w:val="0"/>
          <w:numId w:val="0"/>
        </w:num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2、交换机组网4种方式以及它们的特点</w:t>
      </w:r>
    </w:p>
    <w:p>
      <w:pPr>
        <w:numPr>
          <w:ilvl w:val="0"/>
          <w:numId w:val="0"/>
        </w:num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（1）级联方式</w:t>
      </w:r>
    </w:p>
    <w:p>
      <w:pPr>
        <w:numPr>
          <w:ilvl w:val="0"/>
          <w:numId w:val="0"/>
        </w:num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 这是最常用的一种组网方式，它通过交换机上的级联口进行连接。需要注意的是交换机不能无限制级联，超过一定数量的交换机进行级联，最终会引起广播风暴，导致网络性能严重下降。</w:t>
      </w:r>
    </w:p>
    <w:p>
      <w:pPr>
        <w:numPr>
          <w:ilvl w:val="0"/>
          <w:numId w:val="0"/>
        </w:num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（2）端口聚合方式</w:t>
      </w:r>
    </w:p>
    <w:p>
      <w:pPr>
        <w:numPr>
          <w:ilvl w:val="0"/>
          <w:numId w:val="0"/>
        </w:num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 前面我们已接触到端口聚合的特点，此种方式相当于用多个端口同时进行级联，它提供了更高的互联带宽和线路冗余，使网络具有一定的可靠性。</w:t>
      </w:r>
    </w:p>
    <w:p>
      <w:pPr>
        <w:numPr>
          <w:ilvl w:val="0"/>
          <w:numId w:val="0"/>
        </w:num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（3）堆叠方式</w:t>
      </w:r>
    </w:p>
    <w:p>
      <w:pPr>
        <w:numPr>
          <w:ilvl w:val="0"/>
          <w:numId w:val="0"/>
        </w:num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 交换机的堆叠是扩展端口最快捷、最便利的方式，同时堆叠后的带宽是单一交换机端口速率的几十倍。但是，并不是所有的交换机都支持堆叠的，这取决于交换机的品牌、型号是否支持堆叠；并且还需要使用专门的堆叠电缆和堆叠模块；最后还要注意同一叠堆中的交换机必须是同一品牌。</w:t>
      </w:r>
    </w:p>
    <w:p>
      <w:pPr>
        <w:numPr>
          <w:ilvl w:val="0"/>
          <w:numId w:val="0"/>
        </w:num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（4）分层方式</w:t>
      </w:r>
    </w:p>
    <w:p>
      <w:pPr>
        <w:numPr>
          <w:ilvl w:val="0"/>
          <w:numId w:val="0"/>
        </w:num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 这种方式一般应用于比较复杂的网络结构中，按照功能可划分为：接入层、汇聚层、核心层。</w:t>
      </w:r>
    </w:p>
    <w:p>
      <w:pPr>
        <w:numPr>
          <w:ilvl w:val="0"/>
          <w:numId w:val="0"/>
        </w:numPr>
        <w:ind w:leftChars="0"/>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3、（1）集线器实际上相当于多端口的中继器。集线器通常有8个、16个或24个等数量不等的接口。集线器同样可以延长网络的通信距离，或连接物理结构不同的网络，但主要还是作为一个主机站点的汇聚点，将连接在集线器上各个接口上的主机联系起来使之可以互相通信。所有主机都连接到中心节点的集线器上构成一个物理上的星型连接。但实际上，在集线器内部，各接口都是通过背板总线连接在一起的，在逻辑上仍构成一个共享的总线。因此，集线器和其所有接口所接的主机共同构成了一个冲突域和一个广播域。</w:t>
      </w:r>
    </w:p>
    <w:p>
      <w:pPr>
        <w:numPr>
          <w:ilvl w:val="0"/>
          <w:numId w:val="2"/>
        </w:numPr>
        <w:ind w:left="0" w:leftChars="0" w:firstLine="0" w:firstLineChars="0"/>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交换机也被称为交换式集线器。它的出现是为了解决连接在集线器上的所有主机共享可用带宽的缺陷。交换机是通过为需要通信的两台主机直接建立专用的通信信道来增加可用带宽的。从这个角度上来讲，交换机相当于多端口网桥。交换机为主机A和主机B建立一条专用的信道，也为主机C和主机D建立一条专用的信道。只有当某个接口直接连接了一个集线器，而集线器又连接了多台主机时，交换机上的该接口和集线器上所连的所有主机才可能产生冲突，形成冲突域。换句话说，交换机上的每个接口都是自己的一个冲突域。</w:t>
      </w:r>
    </w:p>
    <w:p>
      <w:pPr>
        <w:numPr>
          <w:ilvl w:val="0"/>
          <w:numId w:val="0"/>
        </w:numPr>
        <w:ind w:leftChars="0"/>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课后习题3-33</w:t>
      </w:r>
    </w:p>
    <w:p>
      <w:pPr>
        <w:numPr>
          <w:ilvl w:val="0"/>
          <w:numId w:val="0"/>
        </w:numPr>
        <w:ind w:leftChars="0"/>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第一行 写入（A,1） 向除1以外所有接口转发 交换表是空的，无法确认转发接口帧</w:t>
      </w:r>
    </w:p>
    <w:p>
      <w:pPr>
        <w:numPr>
          <w:ilvl w:val="0"/>
          <w:numId w:val="0"/>
        </w:numPr>
        <w:ind w:leftChars="0"/>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第二行 写入（D,4）转给接口1 交换机已知A连接在接口1</w:t>
      </w:r>
    </w:p>
    <w:p>
      <w:pPr>
        <w:numPr>
          <w:ilvl w:val="0"/>
          <w:numId w:val="0"/>
        </w:numPr>
        <w:ind w:leftChars="0"/>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第三行 写入（E,5）转给接口1 交换机已知A连接在接口1</w:t>
      </w:r>
    </w:p>
    <w:p>
      <w:pPr>
        <w:numPr>
          <w:ilvl w:val="0"/>
          <w:numId w:val="0"/>
        </w:numPr>
        <w:ind w:leftChars="0"/>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第四行 不变       转给接口5 交换机已知E连接在接口1</w:t>
      </w:r>
    </w:p>
    <w:p>
      <w:pPr>
        <w:numPr>
          <w:ilvl w:val="0"/>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"https://blog.csdn.net/holly_Z_P_F/article/details/93400590?depth_1-utm_source=distribute.pc_relevant.none-task&amp;utm_source=distribute.pc_relevant.none-task" </w:instrText>
      </w:r>
      <w:r>
        <w:rPr>
          <w:rFonts w:ascii="宋体" w:hAnsi="宋体" w:eastAsia="宋体" w:cs="宋体"/>
          <w:sz w:val="24"/>
          <w:szCs w:val="24"/>
        </w:rPr>
        <w:fldChar w:fldCharType="separate"/>
      </w:r>
      <w:r>
        <w:rPr>
          <w:rStyle w:val="7"/>
          <w:rFonts w:ascii="宋体" w:hAnsi="宋体" w:eastAsia="宋体" w:cs="宋体"/>
          <w:sz w:val="24"/>
          <w:szCs w:val="24"/>
        </w:rPr>
        <w:t>https://blog.csdn.net/holly_Z_P_F/article/details/93400590?depth_1-utm_source=distribute.pc_relevant.none-task&amp;utm_source=distribute.pc_relevant.none-task</w:t>
      </w:r>
      <w:r>
        <w:rPr>
          <w:rFonts w:ascii="宋体" w:hAnsi="宋体" w:eastAsia="宋体" w:cs="宋体"/>
          <w:sz w:val="24"/>
          <w:szCs w:val="24"/>
        </w:rPr>
        <w:fldChar w:fldCharType="end"/>
      </w:r>
    </w:p>
    <w:p>
      <w:pPr>
        <w:numPr>
          <w:ilvl w:val="0"/>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"https://www.cnblogs.com/qingl/p/9094406.htm" </w:instrText>
      </w:r>
      <w:r>
        <w:rPr>
          <w:rFonts w:ascii="宋体" w:hAnsi="宋体" w:eastAsia="宋体" w:cs="宋体"/>
          <w:sz w:val="24"/>
          <w:szCs w:val="24"/>
        </w:rPr>
        <w:fldChar w:fldCharType="separate"/>
      </w:r>
      <w:r>
        <w:rPr>
          <w:rStyle w:val="7"/>
          <w:rFonts w:ascii="宋体" w:hAnsi="宋体" w:eastAsia="宋体" w:cs="宋体"/>
          <w:sz w:val="24"/>
          <w:szCs w:val="24"/>
        </w:rPr>
        <w:t>https://www.cnblogs.com/qingl/p/9094406.htm</w:t>
      </w:r>
      <w:r>
        <w:rPr>
          <w:rFonts w:ascii="宋体" w:hAnsi="宋体" w:eastAsia="宋体" w:cs="宋体"/>
          <w:sz w:val="24"/>
          <w:szCs w:val="24"/>
        </w:rPr>
        <w:fldChar w:fldCharType="end"/>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"https://blog.csdn.net/ZHANG_TAO_88/article/details/46625271?depth_1-utm_source=distribute.pc_relevant.none-task-blog-BlogCommendFromMachineLearnPai2-1&amp;utm_source=distribute.pc_relevant.none-task-blog-BlogCommendFromMachineLearnPai2-1"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https://blog.csdn.net/ZHANG_TAO_88/article/details/46625271?depth_1-utm_source=distribute.pc_relevant.none-task-blog-BlogCommendFromMachineLearnPai2-1&amp;utm_source=distribute.pc_relevant.none-task-blog-BlogCommendFromMachineLearnPai2-1</w:t>
      </w:r>
      <w:r>
        <w:rPr>
          <w:rFonts w:hint="default" w:ascii="宋体" w:hAnsi="宋体" w:eastAsia="宋体" w:cs="宋体"/>
          <w:sz w:val="24"/>
          <w:szCs w:val="24"/>
          <w:lang w:val="en-US" w:eastAsia="zh-CN"/>
        </w:rPr>
        <w:fldChar w:fldCharType="end"/>
      </w:r>
    </w:p>
    <w:p>
      <w:pPr>
        <w:numPr>
          <w:ilvl w:val="0"/>
          <w:numId w:val="0"/>
        </w:numPr>
        <w:ind w:leftChars="0"/>
        <w:rPr>
          <w:rFonts w:hint="default" w:ascii="宋体" w:hAnsi="宋体" w:eastAsia="宋体" w:cs="宋体"/>
          <w:sz w:val="24"/>
          <w:szCs w:val="24"/>
          <w:lang w:val="en-US" w:eastAsia="zh-CN"/>
        </w:rPr>
      </w:pPr>
      <w:bookmarkStart w:id="0" w:name="_GoBack"/>
      <w:bookmarkEnd w:id="0"/>
    </w:p>
    <w:p>
      <w:pPr>
        <w:numPr>
          <w:ilvl w:val="0"/>
          <w:numId w:val="0"/>
        </w:numPr>
        <w:ind w:leftChars="0"/>
        <w:rPr>
          <w:rFonts w:hint="eastAsia" w:ascii="Arial" w:hAnsi="Arial" w:eastAsia="宋体" w:cs="Arial"/>
          <w:i w:val="0"/>
          <w:caps w:val="0"/>
          <w:color w:val="333333"/>
          <w:spacing w:val="0"/>
          <w:sz w:val="24"/>
          <w:szCs w:val="24"/>
          <w:shd w:val="clear" w:fill="FFFFFF"/>
          <w:lang w:val="en-US" w:eastAsia="zh-CN"/>
        </w:rPr>
      </w:pPr>
    </w:p>
    <w:p>
      <w:pPr>
        <w:numPr>
          <w:ilvl w:val="0"/>
          <w:numId w:val="0"/>
        </w:numPr>
        <w:rPr>
          <w:rFonts w:hint="default" w:ascii="Arial" w:hAnsi="Arial" w:eastAsia="宋体" w:cs="Arial"/>
          <w:i w:val="0"/>
          <w:caps w:val="0"/>
          <w:color w:val="333333"/>
          <w:spacing w:val="0"/>
          <w:sz w:val="24"/>
          <w:szCs w:val="24"/>
          <w:shd w:val="clear" w:fill="FFFFFF"/>
          <w:lang w:val="en-US" w:eastAsia="zh-CN"/>
        </w:rPr>
      </w:pPr>
    </w:p>
    <w:p>
      <w:pPr>
        <w:numPr>
          <w:ilvl w:val="0"/>
          <w:numId w:val="0"/>
        </w:num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drawing>
          <wp:inline distT="0" distB="0" distL="114300" distR="114300">
            <wp:extent cx="304800" cy="304800"/>
            <wp:effectExtent l="0" t="0" r="0" b="0"/>
            <wp:docPr id="8"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numPr>
          <w:ilvl w:val="0"/>
          <w:numId w:val="0"/>
        </w:numPr>
        <w:rPr>
          <w:rFonts w:hint="default" w:ascii="Arial" w:hAnsi="Arial" w:eastAsia="宋体" w:cs="Arial"/>
          <w:i w:val="0"/>
          <w:caps w:val="0"/>
          <w:color w:val="333333"/>
          <w:spacing w:val="0"/>
          <w:sz w:val="24"/>
          <w:szCs w:val="24"/>
          <w:shd w:val="clear" w:fill="FFFFFF"/>
          <w:lang w:val="en-US" w:eastAsia="zh-CN"/>
        </w:rPr>
      </w:pPr>
    </w:p>
    <w:p>
      <w:pPr>
        <w:numPr>
          <w:ilvl w:val="0"/>
          <w:numId w:val="0"/>
        </w:numPr>
        <w:rPr>
          <w:rFonts w:hint="eastAsia" w:ascii="Arial" w:hAnsi="Arial" w:eastAsia="宋体" w:cs="Arial"/>
          <w:i w:val="0"/>
          <w:caps w:val="0"/>
          <w:color w:val="333333"/>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59DE23"/>
    <w:multiLevelType w:val="singleLevel"/>
    <w:tmpl w:val="9159DE23"/>
    <w:lvl w:ilvl="0" w:tentative="0">
      <w:start w:val="2"/>
      <w:numFmt w:val="decimal"/>
      <w:suff w:val="nothing"/>
      <w:lvlText w:val="（%1）"/>
      <w:lvlJc w:val="left"/>
    </w:lvl>
  </w:abstractNum>
  <w:abstractNum w:abstractNumId="1">
    <w:nsid w:val="9E8D013B"/>
    <w:multiLevelType w:val="singleLevel"/>
    <w:tmpl w:val="9E8D013B"/>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ED14C2"/>
    <w:rsid w:val="13E41C89"/>
    <w:rsid w:val="1D372776"/>
    <w:rsid w:val="628F58C6"/>
    <w:rsid w:val="68E83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陈传达</cp:lastModifiedBy>
  <dcterms:modified xsi:type="dcterms:W3CDTF">2020-04-22T07:38:09Z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