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160" w:line="259" w:lineRule="auto"/>
        <w:jc w:val="center"/>
        <w:rPr>
          <w:rFonts w:ascii="Calibri" w:cs="Calibri" w:eastAsia="Calibri" w:hAnsi="Calibri"/>
          <w:b w:val="1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بسم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الله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الرحمن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1"/>
        </w:rPr>
        <w:t xml:space="preserve">الرحیم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</w:rPr>
        <w:drawing>
          <wp:inline distB="0" distT="0" distL="0" distR="0">
            <wp:extent cx="1743075" cy="1647825"/>
            <wp:effectExtent b="0" l="0" r="0" t="0"/>
            <wp:docPr descr="https://lh4.googleusercontent.com/w3tS0YwYfuQ-_iDm4u8gJKqcmLJVoNFefLG_iec7xtYOKhy6pHs_rMeoqTX3x9sZJc0MrOVcuoihSLuYkwu4hDH0e9XLxVkpAMNjatu4JJ9zonnPDGwJqku0M1Rx7a0Vb5J-QUQ" id="1" name="image1.png"/>
            <a:graphic>
              <a:graphicData uri="http://schemas.openxmlformats.org/drawingml/2006/picture">
                <pic:pic>
                  <pic:nvPicPr>
                    <pic:cNvPr descr="https://lh4.googleusercontent.com/w3tS0YwYfuQ-_iDm4u8gJKqcmLJVoNFefLG_iec7xtYOKhy6pHs_rMeoqTX3x9sZJc0MrOVcuoihSLuYkwu4hDH0e9XLxVkpAMNjatu4JJ9zonnPDGwJqku0M1Rx7a0Vb5J-QUQ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دانشجویی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سی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ام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دانشگاه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صنعتی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اصفهان</w:t>
      </w:r>
    </w:p>
    <w:p w:rsidR="00000000" w:rsidDel="00000000" w:rsidP="00000000" w:rsidRDefault="00000000" w:rsidRPr="00000000" w14:paraId="00000007">
      <w:pPr>
        <w:bidi w:val="1"/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دانشکده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برق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کامپیوتر</w:t>
      </w:r>
    </w:p>
    <w:p w:rsidR="00000000" w:rsidDel="00000000" w:rsidP="00000000" w:rsidRDefault="00000000" w:rsidRPr="00000000" w14:paraId="00000008">
      <w:pPr>
        <w:bidi w:val="1"/>
        <w:spacing w:after="160" w:line="259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سرپرست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دکتر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حسین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فلسفین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160" w:line="259" w:lineRule="auto"/>
        <w:jc w:val="center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دبیر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1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آرش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ماری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1"/>
        </w:rPr>
        <w:t xml:space="preserve">اوریاد</w:t>
      </w:r>
    </w:p>
    <w:p w:rsidR="00000000" w:rsidDel="00000000" w:rsidP="00000000" w:rsidRDefault="00000000" w:rsidRPr="00000000" w14:paraId="0000000A">
      <w:pPr>
        <w:bidi w:val="1"/>
        <w:spacing w:after="160" w:line="259" w:lineRule="auto"/>
        <w:jc w:val="center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160" w:line="259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اطلاعات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0E">
      <w:pPr>
        <w:bidi w:val="1"/>
        <w:spacing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شماره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: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تاریخ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:</w:t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۱۳۹۸/۸/۱۳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حاظرین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1"/>
        </w:rPr>
        <w:t xml:space="preserve"> 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آرش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اوریاد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مهدی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علی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خاصی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bidi w:val="1"/>
        <w:spacing w:line="259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محمد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روغنی</w:t>
      </w:r>
    </w:p>
    <w:p w:rsidR="00000000" w:rsidDel="00000000" w:rsidP="00000000" w:rsidRDefault="00000000" w:rsidRPr="00000000" w14:paraId="00000014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160" w:line="259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گزارش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1"/>
        </w:rPr>
        <w:t xml:space="preserve"> :</w:t>
      </w:r>
    </w:p>
    <w:p w:rsidR="00000000" w:rsidDel="00000000" w:rsidP="00000000" w:rsidRDefault="00000000" w:rsidRPr="00000000" w14:paraId="00000022">
      <w:pPr>
        <w:bidi w:val="1"/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جزئیات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مربوط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شاخه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تفصیل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</w:t>
      </w:r>
      <w:r w:rsidDel="00000000" w:rsidR="00000000" w:rsidRPr="00000000">
        <w:rPr>
          <w:sz w:val="28"/>
          <w:szCs w:val="28"/>
          <w:rtl w:val="1"/>
        </w:rPr>
        <w:t xml:space="preserve">.</w:t>
        <w:br w:type="textWrapping"/>
      </w:r>
      <w:r w:rsidDel="00000000" w:rsidR="00000000" w:rsidRPr="00000000">
        <w:rPr>
          <w:sz w:val="28"/>
          <w:szCs w:val="28"/>
          <w:rtl w:val="1"/>
        </w:rPr>
        <w:t xml:space="preserve">مسئولیت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سوالات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آقابزرگی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علیرضا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امیدی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پیگیری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ماجرا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برعهده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آرش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اوریاد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مسابقات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اجرایی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تصمیم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وظیفه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مقدادی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واگذار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مسئول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پیگیری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مجددا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آرش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اوریاد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قسمت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ایجاد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آمادگی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اتصال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درگاه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پرداخت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روغنی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عهده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علیخاصی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همچنین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تصمیم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آرش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اوریاد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پیگیری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فرهنگی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دنبال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هماهنگی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لازم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گرفتن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…)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رابطه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ناظری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عهده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قسمت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تبلیغات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منظور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آشنایی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دانشجویان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جدیدالورود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ورودی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سال</w:t>
      </w:r>
      <w:r w:rsidDel="00000000" w:rsidR="00000000" w:rsidRPr="00000000">
        <w:rPr>
          <w:sz w:val="28"/>
          <w:szCs w:val="28"/>
          <w:rtl w:val="1"/>
        </w:rPr>
        <w:t xml:space="preserve"> ۹۸)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شاخه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ACM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مسابقات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منطقه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آسیا</w:t>
      </w:r>
      <w:r w:rsidDel="00000000" w:rsidR="00000000" w:rsidRPr="00000000">
        <w:rPr>
          <w:sz w:val="28"/>
          <w:szCs w:val="28"/>
          <w:rtl w:val="1"/>
        </w:rPr>
        <w:t xml:space="preserve">،‌ </w:t>
      </w:r>
      <w:r w:rsidDel="00000000" w:rsidR="00000000" w:rsidRPr="00000000">
        <w:rPr>
          <w:sz w:val="28"/>
          <w:szCs w:val="28"/>
          <w:rtl w:val="1"/>
        </w:rPr>
        <w:t xml:space="preserve">تهران</w:t>
      </w:r>
      <w:r w:rsidDel="00000000" w:rsidR="00000000" w:rsidRPr="00000000">
        <w:rPr>
          <w:sz w:val="28"/>
          <w:szCs w:val="28"/>
          <w:rtl w:val="1"/>
        </w:rPr>
        <w:t xml:space="preserve">،‌ </w:t>
      </w:r>
      <w:r w:rsidDel="00000000" w:rsidR="00000000" w:rsidRPr="00000000">
        <w:rPr>
          <w:sz w:val="28"/>
          <w:szCs w:val="28"/>
          <w:rtl w:val="1"/>
        </w:rPr>
        <w:t xml:space="preserve">آرش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اوریاد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آشنایی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برنامه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نویسی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توضیحات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لازم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ارائه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برومند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مسئولیت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چاپ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نصب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پوستر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دانشکده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کامپیوتر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دانشکده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ریاضی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عهده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مستند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تابستان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مسابقات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آمادگی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وبسایت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شاخه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دریافت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هزینه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جوایز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تابستان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شاخه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spacing w:after="160" w:line="259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سایر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مربوط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مسابقات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کانتست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منطقه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آسیا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سایت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تهران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موکول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