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پیشنهادی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همکاری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…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شرکت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مسابقه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منطقه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ICPC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سایت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تهران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غرب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آسیا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) -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سال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۱۳۹۸</w:t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اصفهان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دانشکده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برق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کامپیوتر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ACM</w:t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اصفهان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رسمی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موسسه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جهانی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فعالیت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قصد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بزرگ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ترین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رویداد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نویسی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غرب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آسیا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واقع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هدف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اصفهان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موسسه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جهانی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تبیین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تلاش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گسترش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گیری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محاسبات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تفکر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الگوریتمی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جهت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بهبود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شرایط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زندگی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راستا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فعالیت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متنوعی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آینده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راستایی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فعالیت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شما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اهداف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مذکور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امید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همکاری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متنوعی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بگیرد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ادامه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معرفی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ICPC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رزومه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شرایط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همکاری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پردازیم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۱.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معرفی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مسابقه</w:t>
      </w:r>
    </w:p>
    <w:p w:rsidR="00000000" w:rsidDel="00000000" w:rsidP="00000000" w:rsidRDefault="00000000" w:rsidRPr="00000000" w14:paraId="0000000D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موسسه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المللی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ICPC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جهانی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برگزار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طبق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قوانین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میزبانی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کشور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سپرده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راهیابی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جهانی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تعدادی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مناطق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دنیا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جمله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تهران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مرکز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غرب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آسیا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منطقه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برگزار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برتربه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جهانی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خواهند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یافت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متشکل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عضو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هدف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تعدادی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مسئله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چالشی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مدت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(۵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ساعت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کامپیوتر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مسائل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لازم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کارآمد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ارائه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کمترین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بستر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زبان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نویسی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۱۹۷۰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میلادی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کنون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برگزاری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طرف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بزرگی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IBM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پشتیبانی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اعتبار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بزرگ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دنیا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اعضای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جهانی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حضور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دعوت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رسمی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آورند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نظیر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گوگل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فیس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بوک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قالب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ICPC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عناوینی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چون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Google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CodeJam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Fackbook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Hackers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Cup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برگزار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نفرات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جذب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نمایند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خوبی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دریافته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نویسی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الگوریتمی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راهی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مناسب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یافتن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افراد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علاقه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توانا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حوزه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۲.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رزومه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تیم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منتخب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اصفهان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مسابقه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منطقه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تهران</w:t>
      </w:r>
    </w:p>
    <w:p w:rsidR="00000000" w:rsidDel="00000000" w:rsidP="00000000" w:rsidRDefault="00000000" w:rsidRPr="00000000" w14:paraId="00000016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تاریخچه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منتخب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اصفهان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منطقه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سایت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تهران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شریف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برگزار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چهار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گذشته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bidi w:val="1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۱۳۹۷: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رتبه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۱۲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۵۱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کننده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bidi w:val="1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۱۳۹۶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رتبه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۶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۴۷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کننده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bidi w:val="1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۱۳۹۵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رتبه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۴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۴۷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کننده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bidi w:val="1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۱۳۹۴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رتبه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۵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۴۸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کننده</w:t>
      </w:r>
    </w:p>
    <w:p w:rsidR="00000000" w:rsidDel="00000000" w:rsidP="00000000" w:rsidRDefault="00000000" w:rsidRPr="00000000" w14:paraId="0000001B">
      <w:pPr>
        <w:bidi w:val="1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ضمن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اصفهان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اولین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دوره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۱۳۷۸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حضور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بهترین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نتیجه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۱۳۹۵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کسب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bidi w:val="1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۳.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منطقه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تهران</w:t>
      </w:r>
    </w:p>
    <w:p w:rsidR="00000000" w:rsidDel="00000000" w:rsidP="00000000" w:rsidRDefault="00000000" w:rsidRPr="00000000" w14:paraId="00000020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معمول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اواخر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آذر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اوایل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منطقه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حضوری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شریف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برگزار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قادر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سؤال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آنلاینی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شریف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برگزار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میتوانند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نماینده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یابند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اصفهان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ساالنه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متنوعی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آمادگی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هرچه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دانشجویان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برگزار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میکند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علاوه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حدود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برگزاری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تعدادی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اعزامی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منطقه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برگزار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شرکت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کنندگان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انتخابی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مختلفی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دانشجویان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تشکیل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میدهند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جمله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دانشجویانی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عضوی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تجربه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دانشجویانی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تازگی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آماده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نودانشجویانی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اولین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میخواهند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سبک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آشنا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برگزاری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سهمیه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اختصاص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یافته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تیمهای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برگزیده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انتخابی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تیمهای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اعزامی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اصفهان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شریف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اعلام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دکتر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حسین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فلسفین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عضو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هیئت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علمی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دانشکده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برق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کامپیوتر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سرپرست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تیم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یافته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همراهی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left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۴.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هزینه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بینی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شده</w:t>
      </w:r>
    </w:p>
    <w:p w:rsidR="00000000" w:rsidDel="00000000" w:rsidP="00000000" w:rsidRDefault="00000000" w:rsidRPr="00000000" w14:paraId="0000002F">
      <w:pPr>
        <w:bidi w:val="1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هزینه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بینی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تجارب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سال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پیشین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قابل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875"/>
        <w:gridCol w:w="1695"/>
        <w:gridCol w:w="1230"/>
        <w:gridCol w:w="1380"/>
        <w:gridCol w:w="2460"/>
        <w:tblGridChange w:id="0">
          <w:tblGrid>
            <w:gridCol w:w="720"/>
            <w:gridCol w:w="1875"/>
            <w:gridCol w:w="1695"/>
            <w:gridCol w:w="1230"/>
            <w:gridCol w:w="1380"/>
            <w:gridCol w:w="2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شماره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سرفصل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واحد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تعداد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مبلغ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نهایی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توضیحات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ثبت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مسابقه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هر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تیم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حداقل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۶۰۰,۰۰۰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تومان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۳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تیم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۱,۸۰۰,۰۰۰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تومان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امسال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هنوز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صورت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دقیق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هزینه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ثبت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نام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اعلام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نشده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است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لذا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صورت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تغییر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این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هزینه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به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روز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رسانی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خواهد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شد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بلیط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رفت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برگشت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هر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نفر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۱۰۰,۰۰۰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تومان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۱۲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نفر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۱,۲۰۰,۰۰۰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تومان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صبحانه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ناهار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شام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هر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نفر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۱۰۰,۰۰۰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تومان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۱۲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نفر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۱,۲۰۰,۰۰۰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تومان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هر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نفر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۲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وعده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صبحانه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یک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وعده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ناهار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، ۳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وعده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شام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سایر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وعده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ها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شامل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۲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وعده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ناهار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توسط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دانشگاه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میزبان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تأمین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میشود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حمل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نقل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برای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کل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گروه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۵۰,۰۰۰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تومان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۵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دفعه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جابه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جایی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افراد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شهر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۲۵۰,۰۰۰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تومان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اسکان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هر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نفر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۲۰۰,۰۰۰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هزار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تومان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۱۲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نفر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۲,۴۰۰,۰۰۰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تومان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هزینه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هر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شب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اسکان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۱۰۰۰۰۰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تومان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در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نظر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گرفته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شده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است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5">
      <w:pPr>
        <w:bidi w:val="1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جمع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هزینه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: </w:t>
      </w:r>
      <w:r w:rsidDel="00000000" w:rsidR="00000000" w:rsidRPr="00000000">
        <w:rPr>
          <w:b w:val="1"/>
          <w:sz w:val="26"/>
          <w:szCs w:val="26"/>
          <w:rtl w:val="0"/>
        </w:rPr>
        <w:t xml:space="preserve">۶,۸۵۰,۰۰۰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تومان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0"/>
          <w:szCs w:val="30"/>
          <w:rtl w:val="1"/>
        </w:rPr>
        <w:t xml:space="preserve">۵. </w:t>
      </w:r>
      <w:r w:rsidDel="00000000" w:rsidR="00000000" w:rsidRPr="00000000">
        <w:rPr>
          <w:b w:val="1"/>
          <w:sz w:val="30"/>
          <w:szCs w:val="30"/>
          <w:rtl w:val="1"/>
        </w:rPr>
        <w:t xml:space="preserve">نحوه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ی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همکاری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در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مسابقات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ACM</w:t>
      </w:r>
      <w:r w:rsidDel="00000000" w:rsidR="00000000" w:rsidRPr="00000000">
        <w:rPr>
          <w:b w:val="1"/>
          <w:sz w:val="30"/>
          <w:szCs w:val="30"/>
          <w:rtl w:val="0"/>
        </w:rPr>
        <w:t xml:space="preserve">-</w:t>
      </w:r>
      <w:r w:rsidDel="00000000" w:rsidR="00000000" w:rsidRPr="00000000">
        <w:rPr>
          <w:b w:val="1"/>
          <w:sz w:val="30"/>
          <w:szCs w:val="30"/>
          <w:rtl w:val="0"/>
        </w:rPr>
        <w:t xml:space="preserve">ICPC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رویداد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برنامه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نویسی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واسطه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جایگاه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ویژه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برجسته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اش</w:t>
      </w:r>
      <w:r w:rsidDel="00000000" w:rsidR="00000000" w:rsidRPr="00000000">
        <w:rPr>
          <w:sz w:val="26"/>
          <w:szCs w:val="26"/>
          <w:rtl w:val="1"/>
        </w:rPr>
        <w:t xml:space="preserve">، 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دانشجویان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اهمیت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بسیاری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برخوردار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جامعه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هدف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رویداد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دانشجویان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مستعدی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هستند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اهمیت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جایگاه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توانایی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مسئله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دریافته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همواره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تلاش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تقویت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قوه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ذهنی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مهارتهای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برنامه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نویسی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پیشرفت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کنند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همانطور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ذکر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شرکتها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موسسه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معتبر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دنیا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همچنین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معتبر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رشد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کشور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مانند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کافه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بازار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اهمیت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رویداد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برنامه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نویسی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همواره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دنبال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جذب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چنین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نیروهایی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هستند</w:t>
      </w:r>
      <w:r w:rsidDel="00000000" w:rsidR="00000000" w:rsidRPr="00000000">
        <w:rPr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67">
      <w:pPr>
        <w:bidi w:val="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رویداد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معتبر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علاوه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موقعیت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مناسبی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تبلیغ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شناساندن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مراکز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رشد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جامعه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دانشجویی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سطح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دانشگاه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کشور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امکان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برقراری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ارتباط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جذب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نیروهای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مستعد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کارآموزی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استخدام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فراهم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آورد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دیگر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مزایای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همکاری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حضور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دانشجویان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منتخب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دانشکده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معتبر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منطقه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تهران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همراه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نشان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</w:p>
    <w:p w:rsidR="00000000" w:rsidDel="00000000" w:rsidP="00000000" w:rsidRDefault="00000000" w:rsidRPr="00000000" w14:paraId="00000068">
      <w:pPr>
        <w:bidi w:val="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راستا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دانشجویی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ضمن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استقبال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پیشنهادهای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،  </w:t>
      </w:r>
      <w:r w:rsidDel="00000000" w:rsidR="00000000" w:rsidRPr="00000000">
        <w:rPr>
          <w:sz w:val="26"/>
          <w:szCs w:val="26"/>
          <w:rtl w:val="1"/>
        </w:rPr>
        <w:t xml:space="preserve">دو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بسته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پیشنهادی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زیر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ارائه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کند</w:t>
      </w:r>
      <w:r w:rsidDel="00000000" w:rsidR="00000000" w:rsidRPr="00000000">
        <w:rPr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bidi w:val="1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بسته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پیشنهادی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نقره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ای</w:t>
      </w:r>
    </w:p>
    <w:p w:rsidR="00000000" w:rsidDel="00000000" w:rsidP="00000000" w:rsidRDefault="00000000" w:rsidRPr="00000000" w14:paraId="0000006A">
      <w:pPr>
        <w:bidi w:val="1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موارد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همکاری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bidi w:val="1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طراحی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سوالات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برنامه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نویسی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انتخابی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سناریوهای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مرتبط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فعالیت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bidi w:val="1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لگوی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بنرها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پوسترهای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تبلیغاتی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محیط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دانشگاه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bidi w:val="1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لگوی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سوالات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انتخابی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صفحه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رسمی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bidi w:val="1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تبلیغ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توضیح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فعالیت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صفحه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شروع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سوالات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انتخابی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bidi w:val="1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لگوی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داخلی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مراسم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افتتاحیه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منطقه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bidi w:val="1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پیکسل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کلاه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مزین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لگوی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داخلی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منطقه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bidi w:val="1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نصب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بنر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مخصوص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انتخابی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bidi w:val="1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تبلیغ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معرفی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کانال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تلگرام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وبسایت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</w:p>
    <w:p w:rsidR="00000000" w:rsidDel="00000000" w:rsidP="00000000" w:rsidRDefault="00000000" w:rsidRPr="00000000" w14:paraId="00000073">
      <w:pPr>
        <w:bidi w:val="1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1"/>
        </w:rPr>
        <w:t xml:space="preserve">هزینه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bidi w:val="1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بسته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دربردانده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هزینه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مرتبط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موارد</w:t>
      </w:r>
      <w:r w:rsidDel="00000000" w:rsidR="00000000" w:rsidRPr="00000000">
        <w:rPr>
          <w:sz w:val="26"/>
          <w:szCs w:val="26"/>
          <w:rtl w:val="1"/>
        </w:rPr>
        <w:t xml:space="preserve"> ۱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۲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۳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۴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جدول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هزینه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موجود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بخش</w:t>
      </w:r>
      <w:r w:rsidDel="00000000" w:rsidR="00000000" w:rsidRPr="00000000">
        <w:rPr>
          <w:sz w:val="26"/>
          <w:szCs w:val="26"/>
          <w:rtl w:val="1"/>
        </w:rPr>
        <w:t xml:space="preserve"> ۴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bidi w:val="1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بسته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پیشنهادی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طلایی</w:t>
      </w:r>
    </w:p>
    <w:p w:rsidR="00000000" w:rsidDel="00000000" w:rsidP="00000000" w:rsidRDefault="00000000" w:rsidRPr="00000000" w14:paraId="00000077">
      <w:pPr>
        <w:bidi w:val="1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موارد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همکاری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bidi w:val="1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همه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همکاری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بسته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پیشنهادی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نقره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</w:t>
      </w:r>
      <w:r w:rsidDel="00000000" w:rsidR="00000000" w:rsidRPr="00000000">
        <w:rPr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bidi w:val="1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کمک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اجرای</w:t>
      </w:r>
      <w:r w:rsidDel="00000000" w:rsidR="00000000" w:rsidRPr="00000000">
        <w:rPr>
          <w:sz w:val="26"/>
          <w:szCs w:val="26"/>
          <w:rtl w:val="1"/>
        </w:rPr>
        <w:t xml:space="preserve"> ۱ </w:t>
      </w:r>
      <w:r w:rsidDel="00000000" w:rsidR="00000000" w:rsidRPr="00000000">
        <w:rPr>
          <w:sz w:val="26"/>
          <w:szCs w:val="26"/>
          <w:rtl w:val="1"/>
        </w:rPr>
        <w:t xml:space="preserve">فعالیت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طرح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مرتبط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سطح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دانشگاه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اصفهان</w:t>
      </w:r>
    </w:p>
    <w:p w:rsidR="00000000" w:rsidDel="00000000" w:rsidP="00000000" w:rsidRDefault="00000000" w:rsidRPr="00000000" w14:paraId="0000007A">
      <w:pPr>
        <w:bidi w:val="1"/>
        <w:ind w:left="0"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هزینه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bidi w:val="1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بسته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شامل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هزینه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مطرح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جدول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بخش</w:t>
      </w:r>
      <w:r w:rsidDel="00000000" w:rsidR="00000000" w:rsidRPr="00000000">
        <w:rPr>
          <w:sz w:val="26"/>
          <w:szCs w:val="26"/>
          <w:rtl w:val="1"/>
        </w:rPr>
        <w:t xml:space="preserve"> ۴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باشد</w:t>
      </w:r>
      <w:r w:rsidDel="00000000" w:rsidR="00000000" w:rsidRPr="00000000">
        <w:rPr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0"/>
          <w:szCs w:val="30"/>
          <w:rtl w:val="1"/>
        </w:rPr>
        <w:t xml:space="preserve">۶. </w:t>
      </w:r>
      <w:r w:rsidDel="00000000" w:rsidR="00000000" w:rsidRPr="00000000">
        <w:rPr>
          <w:b w:val="1"/>
          <w:sz w:val="30"/>
          <w:szCs w:val="30"/>
          <w:rtl w:val="1"/>
        </w:rPr>
        <w:t xml:space="preserve">ارتباط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شاخه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دانشجویی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ACM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دانشگاه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صنعتی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اصفهان</w:t>
      </w:r>
    </w:p>
    <w:p w:rsidR="00000000" w:rsidDel="00000000" w:rsidP="00000000" w:rsidRDefault="00000000" w:rsidRPr="00000000" w14:paraId="0000007D">
      <w:pPr>
        <w:bidi w:val="1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bidi w:val="1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دکتر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حسین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فلسفین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سرپرست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دانشجویی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ACM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bidi w:val="1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آدرس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الکترونیک</w:t>
      </w:r>
      <w:r w:rsidDel="00000000" w:rsidR="00000000" w:rsidRPr="00000000">
        <w:rPr>
          <w:sz w:val="26"/>
          <w:szCs w:val="26"/>
          <w:rtl w:val="1"/>
        </w:rPr>
        <w:t xml:space="preserve"> : </w:t>
      </w:r>
      <w:hyperlink r:id="rId6">
        <w:r w:rsidDel="00000000" w:rsidR="00000000" w:rsidRPr="00000000">
          <w:rPr>
            <w:b w:val="1"/>
            <w:sz w:val="26"/>
            <w:szCs w:val="26"/>
            <w:rtl w:val="0"/>
          </w:rPr>
          <w:t xml:space="preserve">h.falsafain@gmail.com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ind w:left="144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bidi w:val="1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آرش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ماری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اوریاد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دبیر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دانشجویی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bidi w:val="1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آدرس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الکترونیک</w:t>
      </w:r>
      <w:r w:rsidDel="00000000" w:rsidR="00000000" w:rsidRPr="00000000">
        <w:rPr>
          <w:sz w:val="26"/>
          <w:szCs w:val="26"/>
          <w:rtl w:val="1"/>
        </w:rPr>
        <w:t xml:space="preserve"> : </w:t>
      </w:r>
      <w:hyperlink r:id="rId7">
        <w:r w:rsidDel="00000000" w:rsidR="00000000" w:rsidRPr="00000000">
          <w:rPr>
            <w:b w:val="1"/>
            <w:sz w:val="26"/>
            <w:szCs w:val="26"/>
            <w:rtl w:val="0"/>
          </w:rPr>
          <w:t xml:space="preserve">arashmarioriyad@gmail.com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bidi w:val="1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شماره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تماس</w:t>
      </w:r>
      <w:r w:rsidDel="00000000" w:rsidR="00000000" w:rsidRPr="00000000">
        <w:rPr>
          <w:sz w:val="26"/>
          <w:szCs w:val="26"/>
          <w:rtl w:val="1"/>
        </w:rPr>
        <w:t xml:space="preserve"> :‌ </w:t>
      </w:r>
      <w:r w:rsidDel="00000000" w:rsidR="00000000" w:rsidRPr="00000000">
        <w:rPr>
          <w:b w:val="1"/>
          <w:sz w:val="26"/>
          <w:szCs w:val="26"/>
          <w:rtl w:val="0"/>
        </w:rPr>
        <w:t xml:space="preserve">۰۹۰۱۷۴۱۰۸۸۵</w:t>
      </w:r>
    </w:p>
    <w:p w:rsidR="00000000" w:rsidDel="00000000" w:rsidP="00000000" w:rsidRDefault="00000000" w:rsidRPr="00000000" w14:paraId="00000084">
      <w:pPr>
        <w:bidi w:val="1"/>
        <w:ind w:left="144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bidi w:val="1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مهدی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علیخاصی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نائب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دبیر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دانشجویی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bidi w:val="1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آدرس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الکترونیک</w:t>
      </w:r>
      <w:r w:rsidDel="00000000" w:rsidR="00000000" w:rsidRPr="00000000">
        <w:rPr>
          <w:sz w:val="26"/>
          <w:szCs w:val="26"/>
          <w:rtl w:val="1"/>
        </w:rPr>
        <w:t xml:space="preserve"> : </w:t>
      </w:r>
      <w:hyperlink r:id="rId8">
        <w:r w:rsidDel="00000000" w:rsidR="00000000" w:rsidRPr="00000000">
          <w:rPr>
            <w:b w:val="1"/>
            <w:sz w:val="26"/>
            <w:szCs w:val="26"/>
            <w:rtl w:val="0"/>
          </w:rPr>
          <w:t xml:space="preserve">mahdialikhasi1389@gmail.com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bidi w:val="1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شماره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تماس</w:t>
      </w:r>
      <w:r w:rsidDel="00000000" w:rsidR="00000000" w:rsidRPr="00000000">
        <w:rPr>
          <w:sz w:val="26"/>
          <w:szCs w:val="26"/>
          <w:rtl w:val="1"/>
        </w:rPr>
        <w:t xml:space="preserve"> : </w:t>
      </w:r>
      <w:r w:rsidDel="00000000" w:rsidR="00000000" w:rsidRPr="00000000">
        <w:rPr>
          <w:b w:val="1"/>
          <w:sz w:val="26"/>
          <w:szCs w:val="26"/>
          <w:rtl w:val="0"/>
        </w:rPr>
        <w:t xml:space="preserve">۰۹۳۰۲۴۵۰۴۲۳</w:t>
      </w:r>
    </w:p>
    <w:p w:rsidR="00000000" w:rsidDel="00000000" w:rsidP="00000000" w:rsidRDefault="00000000" w:rsidRPr="00000000" w14:paraId="00000088">
      <w:pPr>
        <w:bidi w:val="1"/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امید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همکاری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همکاری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آینده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بتواند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رشد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تعالی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بیشتر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راستای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نائل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اهداف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خود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همچنین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دانشجویی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دانشجویان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بینجامد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.falsafain@gmail.com" TargetMode="External"/><Relationship Id="rId7" Type="http://schemas.openxmlformats.org/officeDocument/2006/relationships/hyperlink" Target="mailto:arashmarioriyad@gmail.com" TargetMode="External"/><Relationship Id="rId8" Type="http://schemas.openxmlformats.org/officeDocument/2006/relationships/hyperlink" Target="mailto:mahdialikhasi13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