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实验六--工作量估算风险管理软件需求规格说明srs1）"/>
    <w:p>
      <w:pPr>
        <w:pStyle w:val="Heading1"/>
      </w:pPr>
      <w:r>
        <w:t xml:space="preserve">实验六 工作量估算，风险管理，软件需求规格说明SRS（1）</w:t>
      </w:r>
    </w:p>
    <w:p>
      <w:pPr>
        <w:pStyle w:val="FirstParagraph"/>
      </w:pPr>
      <w:r>
        <w:t xml:space="preserve">实验目的：</w:t>
      </w:r>
    </w:p>
    <w:p>
      <w:pPr>
        <w:numPr>
          <w:ilvl w:val="0"/>
          <w:numId w:val="1001"/>
        </w:numPr>
      </w:pPr>
      <w:r>
        <w:t xml:space="preserve">工作量估算</w:t>
      </w:r>
    </w:p>
    <w:p>
      <w:pPr>
        <w:numPr>
          <w:ilvl w:val="0"/>
          <w:numId w:val="1002"/>
        </w:numPr>
      </w:pPr>
      <w:r>
        <w:t xml:space="preserve">风险管理</w:t>
      </w:r>
    </w:p>
    <w:p>
      <w:pPr>
        <w:numPr>
          <w:ilvl w:val="0"/>
          <w:numId w:val="1003"/>
        </w:numPr>
      </w:pPr>
      <w:r>
        <w:t xml:space="preserve">学习软件需求规格说明SRS文档的要求和结构</w:t>
      </w:r>
    </w:p>
    <w:p>
      <w:pPr>
        <w:pStyle w:val="FirstParagraph"/>
      </w:pPr>
      <w:r>
        <w:t xml:space="preserve">实验内容：</w:t>
      </w:r>
    </w:p>
    <w:bookmarkStart w:id="23" w:name="X0a7f681c87303dd96fcfc33e6ee493c954538ef"/>
    <w:p>
      <w:pPr>
        <w:pStyle w:val="Heading3"/>
      </w:pPr>
      <w:r>
        <w:t xml:space="preserve">1.工作量估算：</w:t>
      </w:r>
    </w:p>
    <w:p>
      <w:pPr>
        <w:pStyle w:val="FirstParagraph"/>
      </w:pPr>
      <w:r>
        <w:t xml:space="preserve">ch3 习题12（小组讨论）。</w:t>
      </w:r>
    </w:p>
    <w:p>
      <w:pPr>
        <w:pStyle w:val="BodyText"/>
      </w:pPr>
      <w:r>
        <w:t xml:space="preserve">参考书3.7（P94)皮卡地里电视广告销售系统按COCOMOII的工作量模型进行工作量估算的例子（结合P79-80表），估算自己项目的初始工作量。</w:t>
      </w:r>
    </w:p>
    <w:p>
      <w:pPr>
        <w:pStyle w:val="BodyText"/>
      </w:pPr>
      <w:r>
        <w:t xml:space="preserve"> </w:t>
      </w:r>
      <w:r>
        <w:t xml:space="preserve">为了估算项目的初始工作量，我们将使用COCOMO II模型。该模型可以帮助我们根据项目规模和复杂度估算出所需的工作量。以下是估算过程和结果：</w:t>
      </w:r>
    </w:p>
    <w:bookmarkStart w:id="20" w:name="项目功能概述"/>
    <w:p>
      <w:pPr>
        <w:pStyle w:val="Heading4"/>
      </w:pPr>
      <w:r>
        <w:t xml:space="preserve">项目功能概述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用户注册及登录模块</w:t>
      </w:r>
    </w:p>
    <w:p>
      <w:pPr>
        <w:numPr>
          <w:ilvl w:val="1"/>
          <w:numId w:val="1005"/>
        </w:numPr>
      </w:pPr>
      <w:r>
        <w:t xml:space="preserve">用户注册</w:t>
      </w:r>
    </w:p>
    <w:p>
      <w:pPr>
        <w:numPr>
          <w:ilvl w:val="1"/>
          <w:numId w:val="1005"/>
        </w:numPr>
      </w:pPr>
      <w:r>
        <w:t xml:space="preserve">用户登录</w:t>
      </w:r>
    </w:p>
    <w:p>
      <w:pPr>
        <w:numPr>
          <w:ilvl w:val="1"/>
          <w:numId w:val="1005"/>
        </w:numPr>
      </w:pPr>
      <w:r>
        <w:t xml:space="preserve">登录成功后进入个人博客页面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管理员的后台管理模块</w:t>
      </w:r>
    </w:p>
    <w:p>
      <w:pPr>
        <w:numPr>
          <w:ilvl w:val="1"/>
          <w:numId w:val="1006"/>
        </w:numPr>
      </w:pPr>
      <w:r>
        <w:t xml:space="preserve">信息修改</w:t>
      </w:r>
    </w:p>
    <w:p>
      <w:pPr>
        <w:numPr>
          <w:ilvl w:val="1"/>
          <w:numId w:val="1006"/>
        </w:numPr>
      </w:pPr>
      <w:r>
        <w:t xml:space="preserve">信息查询</w:t>
      </w:r>
    </w:p>
    <w:p>
      <w:pPr>
        <w:numPr>
          <w:ilvl w:val="1"/>
          <w:numId w:val="1006"/>
        </w:numPr>
      </w:pPr>
      <w:r>
        <w:t xml:space="preserve">信息删除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用户管理模块</w:t>
      </w:r>
    </w:p>
    <w:p>
      <w:pPr>
        <w:numPr>
          <w:ilvl w:val="1"/>
          <w:numId w:val="1007"/>
        </w:numPr>
      </w:pPr>
      <w:r>
        <w:t xml:space="preserve">发表文章</w:t>
      </w:r>
    </w:p>
    <w:p>
      <w:pPr>
        <w:numPr>
          <w:ilvl w:val="1"/>
          <w:numId w:val="1007"/>
        </w:numPr>
      </w:pPr>
      <w:r>
        <w:t xml:space="preserve">修改文章</w:t>
      </w:r>
    </w:p>
    <w:p>
      <w:pPr>
        <w:numPr>
          <w:ilvl w:val="1"/>
          <w:numId w:val="1007"/>
        </w:numPr>
      </w:pPr>
      <w:r>
        <w:t xml:space="preserve">删除文章</w:t>
      </w:r>
    </w:p>
    <w:p>
      <w:pPr>
        <w:numPr>
          <w:ilvl w:val="1"/>
          <w:numId w:val="1007"/>
        </w:numPr>
      </w:pPr>
      <w:r>
        <w:t xml:space="preserve">评论功能（评论自己的文章和他人的文章）</w:t>
      </w:r>
    </w:p>
    <w:bookmarkEnd w:id="20"/>
    <w:bookmarkStart w:id="21" w:name="cocomo-ii-模型步骤"/>
    <w:p>
      <w:pPr>
        <w:pStyle w:val="Heading4"/>
      </w:pPr>
      <w:r>
        <w:t xml:space="preserve">COCOMO II 模型步骤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确定项目规模：</w:t>
      </w:r>
    </w:p>
    <w:p>
      <w:pPr>
        <w:numPr>
          <w:ilvl w:val="1"/>
          <w:numId w:val="1009"/>
        </w:numPr>
      </w:pPr>
      <w:r>
        <w:t xml:space="preserve">假设项目的代码行数（KSLOC）为20,000行（20 KSLOC）。</w:t>
      </w:r>
    </w:p>
    <w:p>
      <w:pPr>
        <w:numPr>
          <w:ilvl w:val="1"/>
          <w:numId w:val="1009"/>
        </w:numPr>
      </w:pPr>
      <w:r>
        <w:t xml:space="preserve">项目规模可以根据功能模块的复杂度和预估的代码行数进行确定。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选择适当的COCOMO II模型：</w:t>
      </w:r>
    </w:p>
    <w:p>
      <w:pPr>
        <w:numPr>
          <w:ilvl w:val="1"/>
          <w:numId w:val="1010"/>
        </w:numPr>
      </w:pPr>
      <w:r>
        <w:t xml:space="preserve">本项目属于中等复杂度的系统开发项目，适合使用COCOMO II的中级模型（Intermediate Model）。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COCOMO II 模型公式：</w:t>
      </w:r>
    </w:p>
    <w:p>
      <w:pPr>
        <w:numPr>
          <w:ilvl w:val="0"/>
          <w:numId w:val="1000"/>
        </w:numPr>
      </w:pPr>
      <m:oMath>
        <m:r>
          <m:t>E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K</m:t>
        </m:r>
        <m:r>
          <m:t>S</m:t>
        </m:r>
        <m:r>
          <m:t>L</m:t>
        </m:r>
        <m:r>
          <m:t>O</m:t>
        </m:r>
        <m:r>
          <m:t>C</m:t>
        </m:r>
        <m:r>
          <m:rPr>
            <m:sty m:val="p"/>
          </m:rPr>
          <m:t>)</m:t>
        </m:r>
        <m:r>
          <m:t>b</m:t>
        </m:r>
        <m:r>
          <m:rPr>
            <m:sty m:val="p"/>
          </m:rPr>
          <m:t>×</m:t>
        </m:r>
        <m:r>
          <m:rPr>
            <m:sty m:val="p"/>
          </m:rPr>
          <m:t>∏</m:t>
        </m:r>
        <m:r>
          <m:t>i</m:t>
        </m:r>
        <m:r>
          <m:rPr>
            <m:sty m:val="p"/>
          </m:rPr>
          <m:t>=</m:t>
        </m:r>
        <m:r>
          <m:t>1</m:t>
        </m:r>
        <m:r>
          <m:t>n</m:t>
        </m:r>
        <m:r>
          <m:t>E</m:t>
        </m:r>
        <m:r>
          <m:t>M</m:t>
        </m:r>
        <m:r>
          <m:t>i</m:t>
        </m:r>
        <m:r>
          <m:t>E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K</m:t>
        </m:r>
        <m:r>
          <m:t>S</m:t>
        </m:r>
        <m:r>
          <m:t>L</m:t>
        </m:r>
        <m:r>
          <m:t>O</m:t>
        </m:r>
        <m:r>
          <m:t>C</m:t>
        </m:r>
        <m:sSup>
          <m:e>
            <m:r>
              <m:rPr>
                <m:sty m:val="p"/>
              </m:rPr>
              <m:t>)</m:t>
            </m:r>
          </m:e>
          <m:sup>
            <m:r>
              <m:t>b</m:t>
            </m:r>
          </m:sup>
        </m:sSup>
        <m:r>
          <m:rPr>
            <m:sty m:val="p"/>
          </m:rPr>
          <m:t>×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sSub>
          <m:e>
            <m:r>
              <m:t>M</m:t>
            </m:r>
          </m:e>
          <m:sub>
            <m:r>
              <m:t>i</m:t>
            </m:r>
          </m:sub>
        </m:sSub>
        <m:r>
          <m:t>E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K</m:t>
        </m:r>
        <m:r>
          <m:t>S</m:t>
        </m:r>
        <m:r>
          <m:t>L</m:t>
        </m:r>
        <m:r>
          <m:t>O</m:t>
        </m:r>
        <m:r>
          <m:t>C</m:t>
        </m:r>
        <m:r>
          <m:rPr>
            <m:sty m:val="p"/>
          </m:rPr>
          <m:t>)</m:t>
        </m:r>
        <m:r>
          <m:t>b</m:t>
        </m:r>
        <m:r>
          <m:rPr>
            <m:sty m:val="p"/>
          </m:rPr>
          <m:t>×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∏</m:t>
        </m:r>
        <m:r>
          <m:t>n</m:t>
        </m:r>
        <m:r>
          <m:t>E</m:t>
        </m:r>
        <m:r>
          <m:t>M</m:t>
        </m:r>
        <m:r>
          <m:t>i</m:t>
        </m:r>
      </m:oMath>
    </w:p>
    <w:p>
      <w:pPr>
        <w:numPr>
          <w:ilvl w:val="1"/>
          <w:numId w:val="1011"/>
        </w:numPr>
      </w:pPr>
      <w:r>
        <w:t xml:space="preserve">EEE 是工作量（人月）。</w:t>
      </w:r>
    </w:p>
    <w:p>
      <w:pPr>
        <w:numPr>
          <w:ilvl w:val="1"/>
          <w:numId w:val="1011"/>
        </w:numPr>
      </w:pPr>
      <w:r>
        <w:t xml:space="preserve">aaa 和 bbb 是模型参数。</w:t>
      </w:r>
    </w:p>
    <w:p>
      <w:pPr>
        <w:numPr>
          <w:ilvl w:val="1"/>
          <w:numId w:val="1011"/>
        </w:numPr>
      </w:pPr>
      <w:r>
        <w:t xml:space="preserve">EMiEM_iEMi 是影响因子。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模型参数和影响因子：</w:t>
      </w:r>
    </w:p>
    <w:p>
      <w:pPr>
        <w:numPr>
          <w:ilvl w:val="1"/>
          <w:numId w:val="1012"/>
        </w:numPr>
      </w:pPr>
      <w:r>
        <w:t xml:space="preserve">假设使用基本的参数：a=2.94a = 2.94a=2.94，b=1.14b = 1.14b=1.14。</w:t>
      </w:r>
    </w:p>
    <w:p>
      <w:pPr>
        <w:numPr>
          <w:ilvl w:val="1"/>
          <w:numId w:val="1012"/>
        </w:numPr>
      </w:pPr>
      <w:r>
        <w:t xml:space="preserve">影响因子（Effort Multipliers）包括：产品属性、平台属性、项目属性、人员属性和项目属性。根据实际情况进行调整。</w:t>
      </w:r>
    </w:p>
    <w:bookmarkEnd w:id="21"/>
    <w:bookmarkStart w:id="22" w:name="初步估算"/>
    <w:p>
      <w:pPr>
        <w:pStyle w:val="Heading4"/>
      </w:pPr>
      <w:r>
        <w:t xml:space="preserve">初步估算：</w:t>
      </w:r>
    </w:p>
    <w:p>
      <w:pPr>
        <w:pStyle w:val="FirstParagraph"/>
      </w:pPr>
      <w:r>
        <w:t xml:space="preserve">假设影响因子EM的平均值为1.0（没有额外的复杂度调整），我们将直接计算基本的工作量估算。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代码行数（KSLOC）:</w:t>
      </w:r>
    </w:p>
    <w:p>
      <w:pPr>
        <w:numPr>
          <w:ilvl w:val="1"/>
          <w:numId w:val="1014"/>
        </w:numPr>
      </w:pPr>
      <w:r>
        <w:t xml:space="preserve">20 KSLOC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工作量估算公式：</w:t>
      </w:r>
    </w:p>
    <w:p>
      <w:pPr>
        <w:numPr>
          <w:ilvl w:val="0"/>
          <w:numId w:val="1000"/>
        </w:numPr>
      </w:pPr>
      <m:oMath>
        <m:r>
          <m:t>E</m:t>
        </m:r>
        <m:r>
          <m:rPr>
            <m:sty m:val="p"/>
          </m:rPr>
          <m:t>=</m:t>
        </m:r>
        <m:r>
          <m:t>2.94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20</m:t>
        </m:r>
        <m:r>
          <m:rPr>
            <m:sty m:val="p"/>
          </m:rPr>
          <m:t>)</m:t>
        </m:r>
        <m:r>
          <m:t>1.14</m:t>
        </m:r>
        <m:r>
          <m:t>E</m:t>
        </m:r>
        <m:r>
          <m:rPr>
            <m:sty m:val="p"/>
          </m:rPr>
          <m:t>=</m:t>
        </m:r>
        <m:r>
          <m:t>2.94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20</m:t>
        </m:r>
        <m:sSup>
          <m:e>
            <m:r>
              <m:rPr>
                <m:sty m:val="p"/>
              </m:rPr>
              <m:t>)</m:t>
            </m:r>
          </m:e>
          <m:sup>
            <m:r>
              <m:t>1.14</m:t>
            </m:r>
          </m:sup>
        </m:sSup>
        <m:r>
          <m:t>E</m:t>
        </m:r>
        <m:r>
          <m:rPr>
            <m:sty m:val="p"/>
          </m:rPr>
          <m:t>=</m:t>
        </m:r>
        <m:r>
          <m:t>2.94</m:t>
        </m:r>
        <m:r>
          <m:rPr>
            <m:sty m:val="p"/>
          </m:rPr>
          <m:t>×</m:t>
        </m:r>
        <m:r>
          <m:rPr>
            <m:sty m:val="p"/>
          </m:rPr>
          <m:t>(</m:t>
        </m:r>
        <m:r>
          <m:t>20</m:t>
        </m:r>
        <m:r>
          <m:rPr>
            <m:sty m:val="p"/>
          </m:rPr>
          <m:t>)</m:t>
        </m:r>
        <m:r>
          <m:t>1.14</m:t>
        </m:r>
      </m:oMath>
    </w:p>
    <w:p>
      <w:pPr>
        <w:pStyle w:val="FirstParagraph"/>
      </w:pPr>
      <w:r>
        <w:t xml:space="preserve">计算结果：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2.94</m:t>
        </m:r>
        <m:r>
          <m:rPr>
            <m:sty m:val="p"/>
          </m:rPr>
          <m:t>×</m:t>
        </m:r>
        <m:r>
          <m:t>201.14</m:t>
        </m:r>
        <m:r>
          <m:rPr>
            <m:sty m:val="p"/>
          </m:rPr>
          <m:t>≈</m:t>
        </m:r>
        <m:r>
          <m:t>2.94</m:t>
        </m:r>
        <m:r>
          <m:rPr>
            <m:sty m:val="p"/>
          </m:rPr>
          <m:t>×</m:t>
        </m:r>
        <m:r>
          <m:t>33.4</m:t>
        </m:r>
        <m:r>
          <m:rPr>
            <m:sty m:val="p"/>
          </m:rPr>
          <m:t>≈</m:t>
        </m:r>
        <m:r>
          <m:t>98.2</m:t>
        </m:r>
        <m:r>
          <m:t>人</m:t>
        </m:r>
        <m:r>
          <m:t>月</m:t>
        </m:r>
        <m:r>
          <m:t>E</m:t>
        </m:r>
        <m:r>
          <m:rPr>
            <m:sty m:val="p"/>
          </m:rPr>
          <m:t>=</m:t>
        </m:r>
        <m:r>
          <m:t>2.94</m:t>
        </m:r>
        <m:r>
          <m:rPr>
            <m:sty m:val="p"/>
          </m:rPr>
          <m:t>×</m:t>
        </m:r>
        <m:sSup>
          <m:e>
            <m:r>
              <m:t>20</m:t>
            </m:r>
          </m:e>
          <m:sup>
            <m:r>
              <m:t>1.14</m:t>
            </m:r>
          </m:sup>
        </m:sSup>
        <m:r>
          <m:rPr>
            <m:sty m:val="p"/>
          </m:rPr>
          <m:t>≈</m:t>
        </m:r>
        <m:r>
          <m:t>2.94</m:t>
        </m:r>
        <m:r>
          <m:rPr>
            <m:sty m:val="p"/>
          </m:rPr>
          <m:t>×</m:t>
        </m:r>
        <m:r>
          <m:t>33.4</m:t>
        </m:r>
        <m:r>
          <m:rPr>
            <m:sty m:val="p"/>
          </m:rPr>
          <m:t>≈</m:t>
        </m:r>
        <m:r>
          <m:t>98.2</m:t>
        </m:r>
        <m:r>
          <m:rPr>
            <m:nor/>
            <m:sty m:val="p"/>
          </m:rPr>
          <m:t>人月</m:t>
        </m:r>
        <m:r>
          <m:t>E</m:t>
        </m:r>
        <m:r>
          <m:rPr>
            <m:sty m:val="p"/>
          </m:rPr>
          <m:t>=</m:t>
        </m:r>
        <m:r>
          <m:t>2.94</m:t>
        </m:r>
        <m:r>
          <m:rPr>
            <m:sty m:val="p"/>
          </m:rPr>
          <m:t>×</m:t>
        </m:r>
        <m:r>
          <m:t>201.14</m:t>
        </m:r>
        <m:r>
          <m:rPr>
            <m:sty m:val="p"/>
          </m:rPr>
          <m:t>≈</m:t>
        </m:r>
        <m:r>
          <m:t>2.94</m:t>
        </m:r>
        <m:r>
          <m:rPr>
            <m:sty m:val="p"/>
          </m:rPr>
          <m:t>×</m:t>
        </m:r>
        <m:r>
          <m:t>33.4</m:t>
        </m:r>
        <m:r>
          <m:rPr>
            <m:sty m:val="p"/>
          </m:rPr>
          <m:t>≈</m:t>
        </m:r>
        <m:r>
          <m:t>98.2</m:t>
        </m:r>
        <m:r>
          <m:t>人</m:t>
        </m:r>
        <m:r>
          <m:t>月</m:t>
        </m:r>
      </m:oMath>
    </w:p>
    <w:bookmarkEnd w:id="22"/>
    <w:bookmarkEnd w:id="23"/>
    <w:bookmarkStart w:id="27" w:name="Xe8d4bbec89eafd7e0dbb79878171e7d128d59a0"/>
    <w:p>
      <w:pPr>
        <w:pStyle w:val="Heading2"/>
      </w:pPr>
      <w:r>
        <w:t xml:space="preserve">2. 风险管理</w:t>
      </w:r>
    </w:p>
    <w:p>
      <w:pPr>
        <w:pStyle w:val="FirstParagraph"/>
      </w:pPr>
      <w:r>
        <w:t xml:space="preserve"> </w:t>
      </w:r>
      <w:r>
        <w:t xml:space="preserve">ch3 习题11 （小组讨论）</w:t>
      </w:r>
    </w:p>
    <w:p>
      <w:pPr>
        <w:pStyle w:val="BodyText"/>
      </w:pPr>
      <w:r>
        <w:t xml:space="preserve"> </w:t>
      </w:r>
      <w:r>
        <w:t xml:space="preserve">分析自己项目中可能存在的风险，并进一步细化风险管理（做出风险分级及应对预案）。</w:t>
      </w:r>
    </w:p>
    <w:bookmarkStart w:id="24" w:name="识别风险"/>
    <w:p>
      <w:pPr>
        <w:pStyle w:val="Heading4"/>
      </w:pPr>
      <w:r>
        <w:t xml:space="preserve">识别风险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技术风险</w:t>
      </w:r>
    </w:p>
    <w:p>
      <w:pPr>
        <w:numPr>
          <w:ilvl w:val="1"/>
          <w:numId w:val="1016"/>
        </w:numPr>
      </w:pPr>
      <w:r>
        <w:t xml:space="preserve">新技术或框架的使用可能带来的风险</w:t>
      </w:r>
    </w:p>
    <w:p>
      <w:pPr>
        <w:numPr>
          <w:ilvl w:val="1"/>
          <w:numId w:val="1016"/>
        </w:numPr>
      </w:pPr>
      <w:r>
        <w:t xml:space="preserve">系统性能和安全性问题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人员风险</w:t>
      </w:r>
    </w:p>
    <w:p>
      <w:pPr>
        <w:numPr>
          <w:ilvl w:val="1"/>
          <w:numId w:val="1017"/>
        </w:numPr>
      </w:pPr>
      <w:r>
        <w:t xml:space="preserve">团队成员经验不足</w:t>
      </w:r>
    </w:p>
    <w:p>
      <w:pPr>
        <w:numPr>
          <w:ilvl w:val="1"/>
          <w:numId w:val="1017"/>
        </w:numPr>
      </w:pPr>
      <w:r>
        <w:t xml:space="preserve">关键人员离职或变动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项目风险</w:t>
      </w:r>
    </w:p>
    <w:p>
      <w:pPr>
        <w:numPr>
          <w:ilvl w:val="1"/>
          <w:numId w:val="1018"/>
        </w:numPr>
      </w:pPr>
      <w:r>
        <w:t xml:space="preserve">需求变更</w:t>
      </w:r>
    </w:p>
    <w:p>
      <w:pPr>
        <w:numPr>
          <w:ilvl w:val="1"/>
          <w:numId w:val="1018"/>
        </w:numPr>
      </w:pPr>
      <w:r>
        <w:t xml:space="preserve">项目进度延误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外部风险</w:t>
      </w:r>
    </w:p>
    <w:p>
      <w:pPr>
        <w:numPr>
          <w:ilvl w:val="1"/>
          <w:numId w:val="1019"/>
        </w:numPr>
      </w:pPr>
      <w:r>
        <w:t xml:space="preserve">外部依赖（如第三方服务）的不可用</w:t>
      </w:r>
    </w:p>
    <w:p>
      <w:pPr>
        <w:numPr>
          <w:ilvl w:val="1"/>
          <w:numId w:val="1019"/>
        </w:numPr>
      </w:pPr>
      <w:r>
        <w:t xml:space="preserve">法规或政策变化</w:t>
      </w:r>
    </w:p>
    <w:bookmarkEnd w:id="24"/>
    <w:bookmarkStart w:id="25" w:name="风险评估和分级"/>
    <w:p>
      <w:pPr>
        <w:pStyle w:val="Heading4"/>
      </w:pPr>
      <w:r>
        <w:t xml:space="preserve">风险评估和分级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风险类别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技术风险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人员风险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项目风险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外部风险</w:t>
            </w:r>
          </w:p>
        </w:tc>
      </w:tr>
    </w:tbl>
    <w:bookmarkEnd w:id="25"/>
    <w:bookmarkStart w:id="26" w:name="应对预案"/>
    <w:p>
      <w:pPr>
        <w:pStyle w:val="Heading4"/>
      </w:pPr>
      <w:r>
        <w:t xml:space="preserve">应对预案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技术风险：</w:t>
      </w:r>
    </w:p>
    <w:p>
      <w:pPr>
        <w:numPr>
          <w:ilvl w:val="1"/>
          <w:numId w:val="1021"/>
        </w:numPr>
      </w:pPr>
      <w:r>
        <w:t xml:space="preserve">加强团队培训，邀请专家进行指导。</w:t>
      </w:r>
    </w:p>
    <w:p>
      <w:pPr>
        <w:numPr>
          <w:ilvl w:val="1"/>
          <w:numId w:val="1021"/>
        </w:numPr>
      </w:pPr>
      <w:r>
        <w:t xml:space="preserve">预留技术攻关时间。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人员风险：</w:t>
      </w:r>
    </w:p>
    <w:p>
      <w:pPr>
        <w:numPr>
          <w:ilvl w:val="1"/>
          <w:numId w:val="1022"/>
        </w:numPr>
      </w:pPr>
      <w:r>
        <w:t xml:space="preserve">制定详细的交接文档和流程。</w:t>
      </w:r>
    </w:p>
    <w:p>
      <w:pPr>
        <w:numPr>
          <w:ilvl w:val="1"/>
          <w:numId w:val="1022"/>
        </w:numPr>
      </w:pPr>
      <w:r>
        <w:t xml:space="preserve">提高团队成员的多技能能力。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项目风险：</w:t>
      </w:r>
    </w:p>
    <w:p>
      <w:pPr>
        <w:numPr>
          <w:ilvl w:val="1"/>
          <w:numId w:val="1023"/>
        </w:numPr>
      </w:pPr>
      <w:r>
        <w:t xml:space="preserve">与客户频繁沟通，明确需求。</w:t>
      </w:r>
    </w:p>
    <w:p>
      <w:pPr>
        <w:numPr>
          <w:ilvl w:val="1"/>
          <w:numId w:val="1023"/>
        </w:numPr>
      </w:pPr>
      <w:r>
        <w:t xml:space="preserve">使用敏捷开发方法，快速响应需求变更。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外部风险：</w:t>
      </w:r>
    </w:p>
    <w:p>
      <w:pPr>
        <w:numPr>
          <w:ilvl w:val="1"/>
          <w:numId w:val="1024"/>
        </w:numPr>
      </w:pPr>
      <w:r>
        <w:t xml:space="preserve">确保系统的可扩展性，支持替换第三方服务。</w:t>
      </w:r>
    </w:p>
    <w:p>
      <w:pPr>
        <w:numPr>
          <w:ilvl w:val="1"/>
          <w:numId w:val="1024"/>
        </w:numPr>
      </w:pPr>
      <w:r>
        <w:t xml:space="preserve">保持对法规和政策的关注，及时调整。</w:t>
      </w:r>
    </w:p>
    <w:bookmarkEnd w:id="26"/>
    <w:bookmarkEnd w:id="27"/>
    <w:bookmarkStart w:id="28" w:name="X2f84b847139272e10dd583b790753f4f401bdd9"/>
    <w:p>
      <w:pPr>
        <w:pStyle w:val="Heading2"/>
      </w:pPr>
      <w:r>
        <w:t xml:space="preserve">3. 学习国标中的文档11《软件需求规格说明SRS》，了解文档的要求和结构及与其他相关文档 （07,08,12,17等）的关系。（文档见实验1的压缩文件）</w:t>
      </w:r>
    </w:p>
    <w:p>
      <w:pPr>
        <w:pStyle w:val="FirstParagraph"/>
      </w:pPr>
      <w:r>
        <w:t xml:space="preserve">项目跟踪，建立能反映项目及小组每个人工作的进度、里程碑、工作量的跟踪图或表，每周更新。</w:t>
      </w:r>
    </w:p>
    <w:p>
      <w:pPr>
        <w:pStyle w:val="BodyText"/>
      </w:pPr>
      <w:r>
        <w:t xml:space="preserve"> 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2024-06-18T03:48:40Z</dcterms:created>
  <dcterms:modified xsi:type="dcterms:W3CDTF">2024-06-18T03:48:40Z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