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referring-expressions"/>
    <w:p>
      <w:pPr>
        <w:pStyle w:val="Heading1"/>
      </w:pPr>
      <w:r>
        <w:t xml:space="preserve">1. Referring Expressions</w:t>
      </w:r>
    </w:p>
    <w:p>
      <w:pPr>
        <w:pStyle w:val="FirstParagraph"/>
      </w:pPr>
      <w:r>
        <w:t xml:space="preserve">(Excerpt from AURIS guidelines v.0.1, §3 / spring semester 2023, originally for automated annotation)</w:t>
      </w:r>
    </w:p>
    <w:bookmarkEnd w:id="20"/>
    <w:bookmarkStart w:id="44" w:name="markables-things-to-be-annotated"/>
    <w:p>
      <w:pPr>
        <w:pStyle w:val="Heading1"/>
      </w:pPr>
      <w:r>
        <w:t xml:space="preserve">1.1 Markables (things to be annotated)</w:t>
      </w:r>
    </w:p>
    <w:p>
      <w:pPr>
        <w:pStyle w:val="FirstParagraph"/>
      </w:pPr>
      <w:r>
        <w:t xml:space="preserve">Referring expressions are noun phrases, proper names and pronouns.</w:t>
      </w:r>
    </w:p>
    <w:p>
      <w:pPr>
        <w:numPr>
          <w:ilvl w:val="0"/>
          <w:numId w:val="1001"/>
        </w:numPr>
        <w:pStyle w:val="Compact"/>
      </w:pPr>
      <w:r>
        <w:t xml:space="preserve">Annotate every definite noun phrase, every proper noun and every pronoun which is not syntactically bound as a potential anaphor (</w:t>
      </w:r>
      <w:r>
        <w:t xml:space="preserve">“</w:t>
      </w:r>
      <w:r>
        <w:t xml:space="preserve">primary markable</w:t>
      </w:r>
      <w:r>
        <w:t xml:space="preserve">”</w:t>
      </w:r>
      <w:r>
        <w:t xml:space="preserve">).</w:t>
      </w:r>
    </w:p>
    <w:p>
      <w:pPr>
        <w:numPr>
          <w:ilvl w:val="0"/>
          <w:numId w:val="1001"/>
        </w:numPr>
        <w:pStyle w:val="Compact"/>
      </w:pPr>
      <w:r>
        <w:t xml:space="preserve">Check whether it has an antecedent in preceding text. If the antecedent has not been previously marked as a potential anaphor, create a new markable (</w:t>
      </w:r>
      <w:r>
        <w:t xml:space="preserve">“</w:t>
      </w:r>
      <w:r>
        <w:t xml:space="preserve">secondary markable</w:t>
      </w:r>
      <w:r>
        <w:t xml:space="preserve">”</w:t>
      </w:r>
      <w:r>
        <w:t xml:space="preserve">)</w:t>
      </w:r>
    </w:p>
    <w:p>
      <w:pPr>
        <w:numPr>
          <w:ilvl w:val="0"/>
          <w:numId w:val="1001"/>
        </w:numPr>
        <w:pStyle w:val="Compact"/>
      </w:pPr>
      <w:r>
        <w:t xml:space="preserve">Annotate every markable as being non-referring or with the index of the coreference chain (i.e., the unique symbol that you chose to identify)</w:t>
      </w:r>
    </w:p>
    <w:bookmarkStart w:id="21" w:name="manual-annotation"/>
    <w:p>
      <w:pPr>
        <w:pStyle w:val="Heading2"/>
      </w:pPr>
      <w:r>
        <w:t xml:space="preserve">1.2 Manual annotation</w:t>
      </w:r>
    </w:p>
    <w:p>
      <w:pPr>
        <w:numPr>
          <w:ilvl w:val="0"/>
          <w:numId w:val="1002"/>
        </w:numPr>
        <w:pStyle w:val="Compact"/>
      </w:pPr>
      <w:r>
        <w:t xml:space="preserve">Please read the entire text first.</w:t>
      </w:r>
    </w:p>
    <w:p>
      <w:pPr>
        <w:numPr>
          <w:ilvl w:val="0"/>
          <w:numId w:val="1002"/>
        </w:numPr>
        <w:pStyle w:val="Compact"/>
      </w:pPr>
      <w:r>
        <w:t xml:space="preserve">The annotation task is to process each sentence and to annotate/verify all markables and their antecedents</w:t>
      </w:r>
      <w:r>
        <w:t xml:space="preserve"> </w:t>
      </w:r>
      <w:r>
        <w:rPr>
          <w:iCs/>
          <w:i/>
        </w:rPr>
        <w:t xml:space="preserve">in reading order</w:t>
      </w:r>
      <w:r>
        <w:t xml:space="preserve">.</w:t>
      </w:r>
    </w:p>
    <w:bookmarkEnd w:id="21"/>
    <w:bookmarkStart w:id="22" w:name="head-based-annotation"/>
    <w:p>
      <w:pPr>
        <w:pStyle w:val="Heading2"/>
      </w:pPr>
      <w:r>
        <w:t xml:space="preserve">1.3 Head-based annotation</w:t>
      </w:r>
    </w:p>
    <w:p>
      <w:pPr>
        <w:pStyle w:val="FirstParagraph"/>
      </w:pPr>
      <w:r>
        <w:t xml:space="preserve">When annotating a word as markable, do not annotate the full span, but the syntactic head only. Thus, markables must never overlap.</w:t>
      </w:r>
    </w:p>
    <w:p>
      <w:pPr>
        <w:pStyle w:val="BodyText"/>
      </w:pPr>
      <w:r>
        <w:t xml:space="preserve">Head identification is defined in lines of the Universal Dependencies, i.e.,</w:t>
      </w:r>
    </w:p>
    <w:p>
      <w:pPr>
        <w:numPr>
          <w:ilvl w:val="0"/>
          <w:numId w:val="1003"/>
        </w:numPr>
        <w:pStyle w:val="Compact"/>
      </w:pPr>
      <w:r>
        <w:t xml:space="preserve">The syntactic head of a single word span is the word</w:t>
      </w:r>
    </w:p>
    <w:p>
      <w:pPr>
        <w:numPr>
          <w:ilvl w:val="0"/>
          <w:numId w:val="1003"/>
        </w:numPr>
        <w:pStyle w:val="Compact"/>
      </w:pPr>
      <w:r>
        <w:t xml:space="preserve">The syntactic head of a noun phrase is the last nominal</w:t>
      </w:r>
    </w:p>
    <w:p>
      <w:pPr>
        <w:numPr>
          <w:ilvl w:val="0"/>
          <w:numId w:val="1003"/>
        </w:numPr>
        <w:pStyle w:val="Compact"/>
      </w:pPr>
      <w:r>
        <w:t xml:space="preserve">The syntactic head of a clause is the main verb</w:t>
      </w:r>
    </w:p>
    <w:p>
      <w:pPr>
        <w:numPr>
          <w:ilvl w:val="0"/>
          <w:numId w:val="1003"/>
        </w:numPr>
        <w:pStyle w:val="Compact"/>
      </w:pPr>
      <w:r>
        <w:t xml:space="preserve">The syntactic head of a prepositional phrase is the head of its noun phrase.</w:t>
      </w:r>
    </w:p>
    <w:p>
      <w:pPr>
        <w:numPr>
          <w:ilvl w:val="0"/>
          <w:numId w:val="1003"/>
        </w:numPr>
        <w:pStyle w:val="Compact"/>
      </w:pPr>
      <w:r>
        <w:t xml:space="preserve">The syntactic head of a multi-word proper name is the first proper noun</w:t>
      </w:r>
    </w:p>
    <w:p>
      <w:pPr>
        <w:numPr>
          <w:ilvl w:val="0"/>
          <w:numId w:val="1003"/>
        </w:numPr>
        <w:pStyle w:val="Compact"/>
      </w:pPr>
      <w:r>
        <w:t xml:space="preserve">The syntactic head of a conjunction is the first conjunct. If multiple conjuncts in a conjunction serve as antecedents, annotate each conjunct separately.</w:t>
      </w:r>
    </w:p>
    <w:p>
      <w:pPr>
        <w:pStyle w:val="BlockText"/>
      </w:pPr>
      <w:r>
        <w:t xml:space="preserve">(1.a) English:</w:t>
      </w:r>
      <w:r>
        <w:t xml:space="preserve"> </w:t>
      </w:r>
      <w:r>
        <w:rPr>
          <w:iCs/>
          <w:i/>
        </w:rPr>
        <w:t xml:space="preserve">[</w:t>
      </w:r>
      <w:r>
        <w:rPr>
          <w:iCs/>
          <w:i/>
        </w:rPr>
        <w:t xml:space="preserve">Hans</w:t>
      </w:r>
      <w:r>
        <w:rPr>
          <w:iCs/>
          <w:i/>
        </w:rPr>
        <w:t xml:space="preserve"> </w:t>
      </w:r>
      <w:r>
        <w:rPr>
          <w:iCs/>
          <w:i/>
        </w:rPr>
        <w:t xml:space="preserve">– who always had [a soft</w:t>
      </w:r>
      <w:r>
        <w:rPr>
          <w:iCs/>
          <w:i/>
        </w:rPr>
        <w:t xml:space="preserve"> </w:t>
      </w:r>
      <w:r>
        <w:rPr>
          <w:iCs/>
          <w:i/>
        </w:rPr>
        <w:t xml:space="preserve">spot</w:t>
      </w:r>
      <w:r>
        <w:rPr>
          <w:iCs/>
          <w:i/>
        </w:rPr>
        <w:t xml:space="preserve">] [for</w:t>
      </w:r>
      <w:r>
        <w:rPr>
          <w:iCs/>
          <w:i/>
        </w:rPr>
        <w:t xml:space="preserve"> </w:t>
      </w:r>
      <w:r>
        <w:rPr>
          <w:iCs/>
          <w:i/>
        </w:rPr>
        <w:t xml:space="preserve">Susanne</w:t>
      </w:r>
      <w:r>
        <w:rPr>
          <w:iCs/>
          <w:i/>
        </w:rPr>
        <w:t xml:space="preserve">] – ] was also there.</w:t>
      </w:r>
    </w:p>
    <w:p>
      <w:pPr>
        <w:pStyle w:val="BlockText"/>
      </w:pPr>
      <w:r>
        <w:t xml:space="preserve">(1.b) German:</w:t>
      </w:r>
      <w:r>
        <w:t xml:space="preserve"> </w:t>
      </w:r>
      <w:r>
        <w:rPr>
          <w:iCs/>
          <w:i/>
        </w:rPr>
        <w:t xml:space="preserve">[</w:t>
      </w:r>
      <w:r>
        <w:rPr>
          <w:iCs/>
          <w:i/>
        </w:rPr>
        <w:t xml:space="preserve">Hans</w:t>
      </w:r>
      <w:r>
        <w:rPr>
          <w:iCs/>
          <w:i/>
        </w:rPr>
        <w:t xml:space="preserve"> </w:t>
      </w:r>
      <w:r>
        <w:rPr>
          <w:iCs/>
          <w:i/>
        </w:rPr>
        <w:t xml:space="preserve">– der immer schon [eine</w:t>
      </w:r>
      <w:r>
        <w:rPr>
          <w:iCs/>
          <w:i/>
        </w:rPr>
        <w:t xml:space="preserve"> </w:t>
      </w:r>
      <w:r>
        <w:rPr>
          <w:iCs/>
          <w:i/>
        </w:rPr>
        <w:t xml:space="preserve">Schwäche</w:t>
      </w:r>
      <w:r>
        <w:rPr>
          <w:iCs/>
          <w:i/>
        </w:rPr>
        <w:t xml:space="preserve">] [für</w:t>
      </w:r>
      <w:r>
        <w:rPr>
          <w:iCs/>
          <w:i/>
        </w:rPr>
        <w:t xml:space="preserve"> </w:t>
      </w:r>
      <w:r>
        <w:rPr>
          <w:iCs/>
          <w:i/>
        </w:rPr>
        <w:t xml:space="preserve">Susanne</w:t>
      </w:r>
      <w:r>
        <w:rPr>
          <w:iCs/>
          <w:i/>
        </w:rPr>
        <w:t xml:space="preserve">] hatte – ] war auch da.</w:t>
      </w:r>
    </w:p>
    <w:p>
      <w:pPr>
        <w:pStyle w:val="FirstParagraph"/>
      </w:pPr>
      <w:r>
        <w:t xml:space="preserve">This also entails that referring expressions can</w:t>
      </w:r>
      <w:r>
        <w:t xml:space="preserve"> </w:t>
      </w:r>
      <w:r>
        <w:rPr>
          <w:iCs/>
          <w:i/>
        </w:rPr>
        <w:t xml:space="preserve">only</w:t>
      </w:r>
      <w:r>
        <w:t xml:space="preserve"> </w:t>
      </w:r>
      <w:r>
        <w:t xml:space="preserve">be annotated if they are identified as independent words by the word segmentation procedure adopted for that particular language. In (1.c),</w:t>
      </w:r>
      <w:r>
        <w:t xml:space="preserve"> </w:t>
      </w:r>
      <w:r>
        <w:rPr>
          <w:iCs/>
          <w:i/>
        </w:rPr>
        <w:t xml:space="preserve">Denver</w:t>
      </w:r>
      <w:r>
        <w:t xml:space="preserve"> </w:t>
      </w:r>
      <w:r>
        <w:t xml:space="preserve">and</w:t>
      </w:r>
      <w:r>
        <w:t xml:space="preserve"> </w:t>
      </w:r>
      <w:r>
        <w:rPr>
          <w:iCs/>
          <w:i/>
        </w:rPr>
        <w:t xml:space="preserve">bancruptcy</w:t>
      </w:r>
      <w:r>
        <w:t xml:space="preserve"> </w:t>
      </w:r>
      <w:r>
        <w:t xml:space="preserve">can only be identified as markables if they are (automatically annotated as) independent tokens.</w:t>
      </w:r>
    </w:p>
    <w:p>
      <w:pPr>
        <w:pStyle w:val="BlockText"/>
      </w:pPr>
      <w:r>
        <w:t xml:space="preserve">(1.c)</w:t>
      </w:r>
      <w:r>
        <w:t xml:space="preserve"> </w:t>
      </w:r>
      <w:r>
        <w:rPr>
          <w:iCs/>
          <w:i/>
        </w:rPr>
        <w:t xml:space="preserve">The [Denver]?-based concern, which emerged from bancruptcy ... its new, post-[bancruptcy]? law structure ..."</w:t>
      </w:r>
      <w:r>
        <w:t xml:space="preserve"> </w:t>
      </w:r>
      <w:r>
        <w:t xml:space="preserve">(WSJ, 1328)</w:t>
      </w:r>
    </w:p>
    <w:bookmarkEnd w:id="22"/>
    <w:bookmarkStart w:id="36" w:name="X239d36c9f9754112c36b2d530c9fa9c86488b16"/>
    <w:p>
      <w:pPr>
        <w:pStyle w:val="Heading2"/>
      </w:pPr>
      <w:r>
        <w:t xml:space="preserve">1.4 Types of candidate anaphors (primary markables)</w:t>
      </w:r>
    </w:p>
    <w:bookmarkStart w:id="28" w:name="pronouns"/>
    <w:p>
      <w:pPr>
        <w:pStyle w:val="Heading3"/>
      </w:pPr>
      <w:r>
        <w:t xml:space="preserve">1.4.1 Pronouns</w:t>
      </w:r>
    </w:p>
    <w:p>
      <w:pPr>
        <w:pStyle w:val="FirstParagraph"/>
      </w:pPr>
      <w:r>
        <w:t xml:space="preserve">Pronouns include personal pronouns, demonstrative pronouns, pronominal adverbs, and possessived pronouns and</w:t>
      </w:r>
      <w:r>
        <w:t xml:space="preserve"> </w:t>
      </w:r>
      <w:r>
        <w:rPr>
          <w:iCs/>
          <w:i/>
        </w:rPr>
        <w:t xml:space="preserve">both</w:t>
      </w:r>
      <w:r>
        <w:t xml:space="preserve"> </w:t>
      </w:r>
      <w:r>
        <w:t xml:space="preserve">in nominal use (i.e. not as a determiner),</w:t>
      </w:r>
      <w:hyperlink r:id="rId23">
        <w:r>
          <w:rPr>
            <w:rStyle w:val="Hyperlink"/>
          </w:rPr>
          <w:t xml:space="preserve">3</w:t>
        </w:r>
      </w:hyperlink>
      <w:r>
        <w:t xml:space="preserve"> </w:t>
      </w:r>
      <w:r>
        <w:t xml:space="preserve">e.g.,</w:t>
      </w:r>
    </w:p>
    <w:p>
      <w:pPr>
        <w:numPr>
          <w:ilvl w:val="0"/>
          <w:numId w:val="1004"/>
        </w:numPr>
        <w:pStyle w:val="Compact"/>
      </w:pPr>
      <w:r>
        <w:rPr>
          <w:iCs/>
          <w:i/>
        </w:rPr>
        <w:t xml:space="preserve">[I] saw [her] yesterday.</w:t>
      </w:r>
    </w:p>
    <w:p>
      <w:pPr>
        <w:pStyle w:val="FirstParagraph"/>
      </w:pPr>
      <w:r>
        <w:t xml:space="preserve">If automated pre-annotation operates on a language/annotation schema that doesn’t distinguish these types of pronouns from other (non-referring) types of pronouns,</w:t>
      </w:r>
      <w:r>
        <w:t xml:space="preserve"> </w:t>
      </w:r>
      <w:r>
        <w:rPr>
          <w:iCs/>
          <w:i/>
        </w:rPr>
        <w:t xml:space="preserve">every</w:t>
      </w:r>
      <w:r>
        <w:t xml:space="preserve"> </w:t>
      </w:r>
      <w:r>
        <w:t xml:space="preserve">pronoun should be annotated as primary markable.</w:t>
      </w:r>
    </w:p>
    <w:p>
      <w:pPr>
        <w:pStyle w:val="BlockText"/>
      </w:pPr>
      <w:r>
        <w:t xml:space="preserve">Note: Interrogative pronouns are not primary markables, but can serve as secondary markables.</w:t>
      </w:r>
    </w:p>
    <w:p>
      <w:pPr>
        <w:pStyle w:val="BlockText"/>
      </w:pPr>
      <w:r>
        <w:t xml:space="preserve">Note: Relative and reflexive pronouns are not primary markables.</w:t>
      </w:r>
    </w:p>
    <w:bookmarkStart w:id="24" w:name="personal-pronouns"/>
    <w:p>
      <w:pPr>
        <w:pStyle w:val="Heading4"/>
      </w:pPr>
      <w:r>
        <w:t xml:space="preserve">1.4.1.1 Personal Pronouns</w:t>
      </w:r>
    </w:p>
    <w:p>
      <w:pPr>
        <w:pStyle w:val="FirstParagraph"/>
      </w:pPr>
      <w:r>
        <w:t xml:space="preserve">Personal pronouns include (the language-specific counterparts of) English</w:t>
      </w:r>
      <w:r>
        <w:t xml:space="preserve"> </w:t>
      </w:r>
      <w:r>
        <w:rPr>
          <w:iCs/>
          <w:i/>
        </w:rPr>
        <w:t xml:space="preserve">I, me, you, he, him, she, her, it, we, us, they, them</w:t>
      </w:r>
      <w:r>
        <w:t xml:space="preserve">.</w:t>
      </w:r>
    </w:p>
    <w:p>
      <w:pPr>
        <w:pStyle w:val="BodyText"/>
      </w:pPr>
      <w:r>
        <w:t xml:space="preserve">Note that so-called</w:t>
      </w:r>
      <w:r>
        <w:t xml:space="preserve"> </w:t>
      </w:r>
      <w:r>
        <w:t xml:space="preserve">“</w:t>
      </w:r>
      <w:r>
        <w:t xml:space="preserve">generic pronouns</w:t>
      </w:r>
      <w:r>
        <w:t xml:space="preserve">”</w:t>
      </w:r>
      <w:r>
        <w:t xml:space="preserve"> </w:t>
      </w:r>
      <w:r>
        <w:t xml:space="preserve">(</w:t>
      </w:r>
      <w:r>
        <w:rPr>
          <w:iCs/>
          <w:i/>
        </w:rPr>
        <w:t xml:space="preserve">we, you, they</w:t>
      </w:r>
      <w:r>
        <w:t xml:space="preserve">, in German</w:t>
      </w:r>
      <w:r>
        <w:t xml:space="preserve"> </w:t>
      </w:r>
      <w:r>
        <w:rPr>
          <w:iCs/>
          <w:i/>
        </w:rPr>
        <w:t xml:space="preserve">wir, du, sie</w:t>
      </w:r>
      <w:r>
        <w:t xml:space="preserve"> </w:t>
      </w:r>
      <w:r>
        <w:t xml:space="preserve">(without specific reference),</w:t>
      </w:r>
      <w:r>
        <w:t xml:space="preserve"> </w:t>
      </w:r>
      <w:r>
        <w:rPr>
          <w:iCs/>
          <w:i/>
        </w:rPr>
        <w:t xml:space="preserve">man, einer</w:t>
      </w:r>
      <w:r>
        <w:t xml:space="preserve">) are considered as indefinite, but that they cannot be automatically identified. Thus, they are annotated as primary markables.</w:t>
      </w:r>
    </w:p>
    <w:p>
      <w:pPr>
        <w:pStyle w:val="BlockText"/>
      </w:pPr>
      <w:r>
        <w:t xml:space="preserve">Note: Reflexive pronouns (English</w:t>
      </w:r>
      <w:r>
        <w:t xml:space="preserve"> </w:t>
      </w:r>
      <w:r>
        <w:rPr>
          <w:iCs/>
          <w:i/>
        </w:rPr>
        <w:t xml:space="preserve">herself</w:t>
      </w:r>
      <w:r>
        <w:t xml:space="preserve">, etc.) are not PM. Pronouns that are formally ambiguous as to whether they are reflexive or personal pronouns (e.g., German</w:t>
      </w:r>
      <w:r>
        <w:t xml:space="preserve"> </w:t>
      </w:r>
      <w:r>
        <w:rPr>
          <w:iCs/>
          <w:i/>
        </w:rPr>
        <w:t xml:space="preserve">mich</w:t>
      </w:r>
      <w:r>
        <w:t xml:space="preserve"> </w:t>
      </w:r>
      <w:r>
        <w:t xml:space="preserve">“</w:t>
      </w:r>
      <w:r>
        <w:t xml:space="preserve">me; myself</w:t>
      </w:r>
      <w:r>
        <w:t xml:space="preserve">”</w:t>
      </w:r>
      <w:r>
        <w:t xml:space="preserve">), are PM, and should be manually marked as</w:t>
      </w:r>
      <w:r>
        <w:t xml:space="preserve"> </w:t>
      </w:r>
      <w:r>
        <w:rPr>
          <w:rStyle w:val="VerbatimChar"/>
        </w:rPr>
        <w:t xml:space="preserve">REF=BOUND</w:t>
      </w:r>
      <w:r>
        <w:t xml:space="preserve"> </w:t>
      </w:r>
      <w:r>
        <w:t xml:space="preserve">in the annotation.</w:t>
      </w:r>
    </w:p>
    <w:p>
      <w:pPr>
        <w:pStyle w:val="BlockText"/>
      </w:pPr>
      <w:r>
        <w:t xml:space="preserve">Note: Other non-referring pronouns (e.g., expletive</w:t>
      </w:r>
      <w:r>
        <w:t xml:space="preserve"> </w:t>
      </w:r>
      <w:r>
        <w:rPr>
          <w:iCs/>
          <w:i/>
        </w:rPr>
        <w:t xml:space="preserve">it</w:t>
      </w:r>
      <w:r>
        <w:t xml:space="preserve"> </w:t>
      </w:r>
      <w:r>
        <w:t xml:space="preserve">or generic</w:t>
      </w:r>
      <w:r>
        <w:t xml:space="preserve"> </w:t>
      </w:r>
      <w:r>
        <w:rPr>
          <w:iCs/>
          <w:i/>
        </w:rPr>
        <w:t xml:space="preserve">you</w:t>
      </w:r>
      <w:r>
        <w:t xml:space="preserve"> </w:t>
      </w:r>
      <w:r>
        <w:t xml:space="preserve">in the sense of</w:t>
      </w:r>
      <w:r>
        <w:t xml:space="preserve"> </w:t>
      </w:r>
      <w:r>
        <w:t xml:space="preserve">“</w:t>
      </w:r>
      <w:r>
        <w:t xml:space="preserve">anyone</w:t>
      </w:r>
      <w:r>
        <w:t xml:space="preserve">”</w:t>
      </w:r>
      <w:r>
        <w:t xml:space="preserve">) are likewise not to be deleted but to be annotated manually.</w:t>
      </w:r>
    </w:p>
    <w:bookmarkEnd w:id="24"/>
    <w:bookmarkStart w:id="25" w:name="possessive-pronouns"/>
    <w:p>
      <w:pPr>
        <w:pStyle w:val="Heading4"/>
      </w:pPr>
      <w:r>
        <w:t xml:space="preserve">1.4.1.2 Possessive Pronouns</w:t>
      </w:r>
    </w:p>
    <w:p>
      <w:pPr>
        <w:pStyle w:val="FirstParagraph"/>
      </w:pPr>
      <w:r>
        <w:t xml:space="preserve">Possessive pronouns include (the language-specific counterparts of) English</w:t>
      </w:r>
      <w:r>
        <w:t xml:space="preserve"> </w:t>
      </w:r>
      <w:r>
        <w:rPr>
          <w:iCs/>
          <w:i/>
        </w:rPr>
        <w:t xml:space="preserve">my, mine, your, yours, ...</w:t>
      </w:r>
      <w:r>
        <w:t xml:space="preserve">.</w:t>
      </w:r>
    </w:p>
    <w:bookmarkEnd w:id="25"/>
    <w:bookmarkStart w:id="26" w:name="demonstrative-pronouns"/>
    <w:p>
      <w:pPr>
        <w:pStyle w:val="Heading4"/>
      </w:pPr>
      <w:r>
        <w:t xml:space="preserve">1.4.1.3 Demonstrative Pronouns</w:t>
      </w:r>
    </w:p>
    <w:p>
      <w:pPr>
        <w:pStyle w:val="FirstParagraph"/>
      </w:pPr>
      <w:r>
        <w:t xml:space="preserve">Demonstrative pronouns occur with two optional sub-classes:</w:t>
      </w:r>
    </w:p>
    <w:p>
      <w:pPr>
        <w:numPr>
          <w:ilvl w:val="0"/>
          <w:numId w:val="1005"/>
        </w:numPr>
        <w:pStyle w:val="Compact"/>
      </w:pPr>
      <w:r>
        <w:rPr>
          <w:rStyle w:val="VerbatimChar"/>
        </w:rPr>
        <w:t xml:space="preserve">NP_TYPE=pron.pds-prox</w:t>
      </w:r>
      <w:r>
        <w:t xml:space="preserve">: proximal</w:t>
      </w:r>
      <w:r>
        <w:t xml:space="preserve"> </w:t>
      </w:r>
      <w:r>
        <w:rPr>
          <w:iCs/>
          <w:i/>
        </w:rPr>
        <w:t xml:space="preserve">this, these</w:t>
      </w:r>
      <w:r>
        <w:t xml:space="preserve">,</w:t>
      </w:r>
      <w:r>
        <w:t xml:space="preserve"> </w:t>
      </w:r>
      <w:r>
        <w:rPr>
          <w:iCs/>
          <w:i/>
        </w:rPr>
        <w:t xml:space="preserve">this one</w:t>
      </w:r>
      <w:r>
        <w:t xml:space="preserve">, German</w:t>
      </w:r>
      <w:r>
        <w:t xml:space="preserve"> </w:t>
      </w:r>
      <w:r>
        <w:rPr>
          <w:iCs/>
          <w:i/>
        </w:rPr>
        <w:t xml:space="preserve">der, die, das, ...</w:t>
      </w:r>
    </w:p>
    <w:p>
      <w:pPr>
        <w:numPr>
          <w:ilvl w:val="0"/>
          <w:numId w:val="1005"/>
        </w:numPr>
        <w:pStyle w:val="Compact"/>
      </w:pPr>
      <w:r>
        <w:rPr>
          <w:rStyle w:val="VerbatimChar"/>
        </w:rPr>
        <w:t xml:space="preserve">NP_TYPE=pron.pds-dist</w:t>
      </w:r>
      <w:r>
        <w:t xml:space="preserve">: distal</w:t>
      </w:r>
      <w:r>
        <w:t xml:space="preserve"> </w:t>
      </w:r>
      <w:r>
        <w:rPr>
          <w:iCs/>
          <w:i/>
        </w:rPr>
        <w:t xml:space="preserve">that, those</w:t>
      </w:r>
      <w:r>
        <w:t xml:space="preserve">,</w:t>
      </w:r>
      <w:r>
        <w:t xml:space="preserve"> </w:t>
      </w:r>
      <w:r>
        <w:rPr>
          <w:iCs/>
          <w:i/>
        </w:rPr>
        <w:t xml:space="preserve">that one</w:t>
      </w:r>
      <w:r>
        <w:t xml:space="preserve">, German</w:t>
      </w:r>
      <w:r>
        <w:t xml:space="preserve"> </w:t>
      </w:r>
      <w:r>
        <w:rPr>
          <w:iCs/>
          <w:i/>
        </w:rPr>
        <w:t xml:space="preserve">dieser, diese, dies(es), jener, jene, jenes, derjenige,</w:t>
      </w:r>
      <w:r>
        <w:t xml:space="preserve"> </w:t>
      </w:r>
      <w:r>
        <w:t xml:space="preserve">and the like.</w:t>
      </w:r>
    </w:p>
    <w:p>
      <w:pPr>
        <w:pStyle w:val="FirstParagraph"/>
      </w:pPr>
      <w:r>
        <w:t xml:space="preserve">Note that the semi-demonstrative pronouns, e.g.,</w:t>
      </w:r>
      <w:r>
        <w:t xml:space="preserve"> </w:t>
      </w:r>
      <w:r>
        <w:rPr>
          <w:iCs/>
          <w:i/>
        </w:rPr>
        <w:t xml:space="preserve">such</w:t>
      </w:r>
      <w:r>
        <w:t xml:space="preserve">, in German</w:t>
      </w:r>
      <w:r>
        <w:t xml:space="preserve"> </w:t>
      </w:r>
      <w:r>
        <w:rPr>
          <w:iCs/>
          <w:i/>
        </w:rPr>
        <w:t xml:space="preserve">solch</w:t>
      </w:r>
      <w:r>
        <w:t xml:space="preserve">, are considered indefinite.</w:t>
      </w:r>
    </w:p>
    <w:p>
      <w:pPr>
        <w:pStyle w:val="BlockText"/>
      </w:pPr>
      <w:r>
        <w:t xml:space="preserve">Note: Relative pronouns (English</w:t>
      </w:r>
      <w:r>
        <w:t xml:space="preserve"> </w:t>
      </w:r>
      <w:r>
        <w:rPr>
          <w:iCs/>
          <w:i/>
        </w:rPr>
        <w:t xml:space="preserve">which</w:t>
      </w:r>
      <w:r>
        <w:t xml:space="preserve">, etc.) are not PM.</w:t>
      </w:r>
    </w:p>
    <w:bookmarkEnd w:id="26"/>
    <w:bookmarkStart w:id="27" w:name="pronominal-adverbs"/>
    <w:p>
      <w:pPr>
        <w:pStyle w:val="Heading4"/>
      </w:pPr>
      <w:r>
        <w:t xml:space="preserve">1.4.1.4 Pronominal Adverbs</w:t>
      </w:r>
    </w:p>
    <w:p>
      <w:pPr>
        <w:pStyle w:val="FirstParagraph"/>
      </w:pPr>
      <w:r>
        <w:t xml:space="preserve">Pronominal adverbs are derived from pronouns but grammaticalized as adverbs. If pronominal adverbs can still be interpreted as / replaced by a referring expression in a particular language, they should be included as primary markables. However, we exclude references to time and place of the speaker (</w:t>
      </w:r>
      <w:r>
        <w:rPr>
          <w:iCs/>
          <w:i/>
        </w:rPr>
        <w:t xml:space="preserve">here</w:t>
      </w:r>
      <w:r>
        <w:t xml:space="preserve">,</w:t>
      </w:r>
      <w:r>
        <w:t xml:space="preserve"> </w:t>
      </w:r>
      <w:r>
        <w:rPr>
          <w:iCs/>
          <w:i/>
        </w:rPr>
        <w:t xml:space="preserve">hence</w:t>
      </w:r>
      <w:r>
        <w:t xml:space="preserve">) if these are unambiguous in their deictic function, as well as interrogative adverbs (</w:t>
      </w:r>
      <w:r>
        <w:rPr>
          <w:iCs/>
          <w:i/>
        </w:rPr>
        <w:t xml:space="preserve">where</w:t>
      </w:r>
      <w:r>
        <w:t xml:space="preserve">, etc.).</w:t>
      </w:r>
    </w:p>
    <w:p>
      <w:pPr>
        <w:pStyle w:val="BodyText"/>
      </w:pPr>
      <w:r>
        <w:t xml:space="preserve">Examples: Pronominal adverbs in German include</w:t>
      </w:r>
      <w:r>
        <w:t xml:space="preserve"> </w:t>
      </w:r>
      <w:r>
        <w:rPr>
          <w:iCs/>
          <w:i/>
        </w:rPr>
        <w:t xml:space="preserve">da</w:t>
      </w:r>
      <w:r>
        <w:t xml:space="preserve"> </w:t>
      </w:r>
      <w:r>
        <w:t xml:space="preserve">“</w:t>
      </w:r>
      <w:r>
        <w:t xml:space="preserve">there, then</w:t>
      </w:r>
      <w:r>
        <w:t xml:space="preserve">”</w:t>
      </w:r>
      <w:r>
        <w:t xml:space="preserve">,</w:t>
      </w:r>
      <w:r>
        <w:t xml:space="preserve"> </w:t>
      </w:r>
      <w:r>
        <w:rPr>
          <w:iCs/>
          <w:i/>
        </w:rPr>
        <w:t xml:space="preserve">dort</w:t>
      </w:r>
      <w:r>
        <w:t xml:space="preserve"> </w:t>
      </w:r>
      <w:r>
        <w:t xml:space="preserve">“</w:t>
      </w:r>
      <w:r>
        <w:t xml:space="preserve">there</w:t>
      </w:r>
      <w:r>
        <w:t xml:space="preserve">”</w:t>
      </w:r>
      <w:r>
        <w:t xml:space="preserve">,</w:t>
      </w:r>
      <w:r>
        <w:t xml:space="preserve"> </w:t>
      </w:r>
      <w:r>
        <w:rPr>
          <w:iCs/>
          <w:i/>
        </w:rPr>
        <w:t xml:space="preserve">daneben</w:t>
      </w:r>
      <w:r>
        <w:t xml:space="preserve"> </w:t>
      </w:r>
      <w:r>
        <w:t xml:space="preserve">“</w:t>
      </w:r>
      <w:r>
        <w:t xml:space="preserve">next to it</w:t>
      </w:r>
      <w:r>
        <w:t xml:space="preserve">”</w:t>
      </w:r>
      <w:r>
        <w:t xml:space="preserve">,</w:t>
      </w:r>
      <w:r>
        <w:t xml:space="preserve"> </w:t>
      </w:r>
      <w:r>
        <w:rPr>
          <w:iCs/>
          <w:i/>
        </w:rPr>
        <w:t xml:space="preserve">dahin</w:t>
      </w:r>
      <w:r>
        <w:t xml:space="preserve"> </w:t>
      </w:r>
      <w:r>
        <w:t xml:space="preserve">“</w:t>
      </w:r>
      <w:r>
        <w:t xml:space="preserve">(towards) there</w:t>
      </w:r>
      <w:r>
        <w:t xml:space="preserve">”</w:t>
      </w:r>
      <w:r>
        <w:t xml:space="preserve">),</w:t>
      </w:r>
      <w:r>
        <w:t xml:space="preserve"> </w:t>
      </w:r>
      <w:r>
        <w:rPr>
          <w:iCs/>
          <w:i/>
        </w:rPr>
        <w:t xml:space="preserve">davor</w:t>
      </w:r>
      <w:r>
        <w:t xml:space="preserve"> </w:t>
      </w:r>
      <w:r>
        <w:t xml:space="preserve">“</w:t>
      </w:r>
      <w:r>
        <w:t xml:space="preserve">in front of that; before that</w:t>
      </w:r>
      <w:r>
        <w:t xml:space="preserve">”</w:t>
      </w:r>
      <w:r>
        <w:t xml:space="preserve">, or</w:t>
      </w:r>
      <w:r>
        <w:t xml:space="preserve"> </w:t>
      </w:r>
      <w:r>
        <w:rPr>
          <w:iCs/>
          <w:i/>
        </w:rPr>
        <w:t xml:space="preserve">deswegen</w:t>
      </w:r>
      <w:r>
        <w:t xml:space="preserve"> </w:t>
      </w:r>
      <w:r>
        <w:t xml:space="preserve">“</w:t>
      </w:r>
      <w:r>
        <w:t xml:space="preserve">because of that</w:t>
      </w:r>
      <w:r>
        <w:t xml:space="preserve">”</w:t>
      </w:r>
      <w:r>
        <w:t xml:space="preserve">.</w:t>
      </w:r>
    </w:p>
    <w:p>
      <w:pPr>
        <w:pStyle w:val="BlockText"/>
      </w:pPr>
      <w:r>
        <w:t xml:space="preserve">Note on English: Normally, pronominal adverbs are not recognized as referring expressions in English, but they can indeed be substituted with prepositional phrases. For English, we annotate adverbs (starting with)</w:t>
      </w:r>
      <w:r>
        <w:t xml:space="preserve"> </w:t>
      </w:r>
      <w:r>
        <w:rPr>
          <w:iCs/>
          <w:i/>
        </w:rPr>
        <w:t xml:space="preserve">there</w:t>
      </w:r>
      <w:r>
        <w:t xml:space="preserve"> </w:t>
      </w:r>
      <w:r>
        <w:t xml:space="preserve">(unless expletive) and</w:t>
      </w:r>
      <w:r>
        <w:t xml:space="preserve"> </w:t>
      </w:r>
      <w:r>
        <w:rPr>
          <w:iCs/>
          <w:i/>
        </w:rPr>
        <w:t xml:space="preserve">thence</w:t>
      </w:r>
      <w:r>
        <w:t xml:space="preserve">, e.g.,</w:t>
      </w:r>
      <w:r>
        <w:t xml:space="preserve"> </w:t>
      </w:r>
      <w:r>
        <w:rPr>
          <w:iCs/>
          <w:i/>
        </w:rPr>
        <w:t xml:space="preserve">there</w:t>
      </w:r>
      <w:r>
        <w:t xml:space="preserve">,</w:t>
      </w:r>
      <w:r>
        <w:t xml:space="preserve"> </w:t>
      </w:r>
      <w:r>
        <w:rPr>
          <w:iCs/>
          <w:i/>
        </w:rPr>
        <w:t xml:space="preserve">thereafter</w:t>
      </w:r>
      <w:r>
        <w:t xml:space="preserve">,</w:t>
      </w:r>
      <w:r>
        <w:t xml:space="preserve"> </w:t>
      </w:r>
      <w:r>
        <w:rPr>
          <w:iCs/>
          <w:i/>
        </w:rPr>
        <w:t xml:space="preserve">therefore</w:t>
      </w:r>
      <w:r>
        <w:t xml:space="preserve">,</w:t>
      </w:r>
      <w:r>
        <w:t xml:space="preserve"> </w:t>
      </w:r>
      <w:r>
        <w:rPr>
          <w:iCs/>
          <w:i/>
        </w:rPr>
        <w:t xml:space="preserve">thence</w:t>
      </w:r>
      <w:r>
        <w:t xml:space="preserve">,</w:t>
      </w:r>
      <w:r>
        <w:t xml:space="preserve"> </w:t>
      </w:r>
      <w:r>
        <w:rPr>
          <w:iCs/>
          <w:i/>
        </w:rPr>
        <w:t xml:space="preserve">thenceforth</w:t>
      </w:r>
      <w:r>
        <w:t xml:space="preserve">. We exclude the analoguous</w:t>
      </w:r>
      <w:r>
        <w:t xml:space="preserve"> </w:t>
      </w:r>
      <w:r>
        <w:rPr>
          <w:iCs/>
          <w:i/>
        </w:rPr>
        <w:t xml:space="preserve">here</w:t>
      </w:r>
      <w:r>
        <w:t xml:space="preserve"> </w:t>
      </w:r>
      <w:r>
        <w:t xml:space="preserve">and</w:t>
      </w:r>
      <w:r>
        <w:t xml:space="preserve"> </w:t>
      </w:r>
      <w:r>
        <w:rPr>
          <w:iCs/>
          <w:i/>
        </w:rPr>
        <w:t xml:space="preserve">hence</w:t>
      </w:r>
      <w:r>
        <w:t xml:space="preserve"> </w:t>
      </w:r>
      <w:r>
        <w:t xml:space="preserve">because they are exclusively deictic, not anaphoric, whereas there and thence could also have an anaphoric function (</w:t>
      </w:r>
      <w:r>
        <w:rPr>
          <w:iCs/>
          <w:i/>
        </w:rPr>
        <w:t xml:space="preserve">therefore</w:t>
      </w:r>
      <w:r>
        <w:t xml:space="preserve"> </w:t>
      </w:r>
      <w:r>
        <w:t xml:space="preserve">~</w:t>
      </w:r>
      <w:r>
        <w:t xml:space="preserve"> </w:t>
      </w:r>
      <w:r>
        <w:rPr>
          <w:iCs/>
          <w:i/>
        </w:rPr>
        <w:t xml:space="preserve">for this reason</w:t>
      </w:r>
      <w:r>
        <w:t xml:space="preserve">,</w:t>
      </w:r>
      <w:r>
        <w:t xml:space="preserve"> </w:t>
      </w:r>
      <w:r>
        <w:rPr>
          <w:iCs/>
          <w:i/>
        </w:rPr>
        <w:t xml:space="preserve">thence</w:t>
      </w:r>
      <w:r>
        <w:t xml:space="preserve"> </w:t>
      </w:r>
      <w:r>
        <w:t xml:space="preserve">~</w:t>
      </w:r>
      <w:r>
        <w:t xml:space="preserve"> </w:t>
      </w:r>
      <w:r>
        <w:rPr>
          <w:iCs/>
          <w:i/>
        </w:rPr>
        <w:t xml:space="preserve">from there</w:t>
      </w:r>
      <w:r>
        <w:t xml:space="preserve">).</w:t>
      </w:r>
    </w:p>
    <w:bookmarkEnd w:id="27"/>
    <w:bookmarkEnd w:id="28"/>
    <w:bookmarkStart w:id="34" w:name="definite-descriptions"/>
    <w:p>
      <w:pPr>
        <w:pStyle w:val="Heading3"/>
      </w:pPr>
      <w:r>
        <w:t xml:space="preserve">1.4.2 Definite Descriptions</w:t>
      </w:r>
    </w:p>
    <w:p>
      <w:pPr>
        <w:pStyle w:val="FirstParagraph"/>
      </w:pPr>
      <w:r>
        <w:t xml:space="preserve">A description (NP or PP) is definite if it contains the determiner</w:t>
      </w:r>
      <w:r>
        <w:t xml:space="preserve"> </w:t>
      </w:r>
      <w:r>
        <w:rPr>
          <w:iCs/>
          <w:i/>
        </w:rPr>
        <w:t xml:space="preserve">both</w:t>
      </w:r>
      <w:r>
        <w:t xml:space="preserve">, a demonstrative or possessive pronoun or a genitive attribution. Optionally, this can be made explicit with sub-types.</w:t>
      </w:r>
    </w:p>
    <w:bookmarkStart w:id="29" w:name="with-demonstrative-determiner"/>
    <w:p>
      <w:pPr>
        <w:pStyle w:val="Heading4"/>
      </w:pPr>
      <w:r>
        <w:t xml:space="preserve">1.4.2.1 With Demonstrative Determiner</w:t>
      </w:r>
    </w:p>
    <w:p>
      <w:pPr>
        <w:numPr>
          <w:ilvl w:val="0"/>
          <w:numId w:val="1006"/>
        </w:numPr>
        <w:pStyle w:val="Compact"/>
      </w:pPr>
      <w:r>
        <w:rPr>
          <w:iCs/>
          <w:i/>
        </w:rPr>
        <w:t xml:space="preserve">[that</w:t>
      </w:r>
      <w:r>
        <w:rPr>
          <w:iCs/>
          <w:i/>
        </w:rPr>
        <w:t xml:space="preserve"> </w:t>
      </w:r>
      <w:r>
        <w:rPr>
          <w:iCs/>
          <w:i/>
        </w:rPr>
        <w:t xml:space="preserve">pizza</w:t>
      </w:r>
      <w:r>
        <w:rPr>
          <w:iCs/>
          <w:i/>
        </w:rPr>
        <w:t xml:space="preserve">]</w:t>
      </w:r>
      <w:r>
        <w:t xml:space="preserve">,</w:t>
      </w:r>
      <w:r>
        <w:t xml:space="preserve"> </w:t>
      </w:r>
      <w:r>
        <w:rPr>
          <w:iCs/>
          <w:i/>
        </w:rPr>
        <w:t xml:space="preserve">[this</w:t>
      </w:r>
      <w:r>
        <w:rPr>
          <w:iCs/>
          <w:i/>
        </w:rPr>
        <w:t xml:space="preserve"> </w:t>
      </w:r>
      <w:r>
        <w:rPr>
          <w:iCs/>
          <w:i/>
        </w:rPr>
        <w:t xml:space="preserve">pizza</w:t>
      </w:r>
      <w:r>
        <w:rPr>
          <w:iCs/>
          <w:i/>
        </w:rPr>
        <w:t xml:space="preserve">]</w:t>
      </w:r>
    </w:p>
    <w:p>
      <w:pPr>
        <w:pStyle w:val="FirstParagraph"/>
      </w:pPr>
      <w:r>
        <w:t xml:space="preserve">Demonstrative NPs involve optional differences with respect to their relative proximity, with optional subtypes</w:t>
      </w:r>
    </w:p>
    <w:p>
      <w:pPr>
        <w:numPr>
          <w:ilvl w:val="0"/>
          <w:numId w:val="1007"/>
        </w:numPr>
        <w:pStyle w:val="Compact"/>
      </w:pPr>
      <w:r>
        <w:rPr>
          <w:rStyle w:val="VerbatimChar"/>
        </w:rPr>
        <w:t xml:space="preserve">NP_TYPE=def-np.dem-prox</w:t>
      </w:r>
      <w:r>
        <w:t xml:space="preserve">: proximal</w:t>
      </w:r>
      <w:r>
        <w:t xml:space="preserve"> </w:t>
      </w:r>
      <w:r>
        <w:rPr>
          <w:iCs/>
          <w:i/>
        </w:rPr>
        <w:t xml:space="preserve">this man</w:t>
      </w:r>
      <w:r>
        <w:t xml:space="preserve">, ...</w:t>
      </w:r>
    </w:p>
    <w:p>
      <w:pPr>
        <w:numPr>
          <w:ilvl w:val="0"/>
          <w:numId w:val="1007"/>
        </w:numPr>
        <w:pStyle w:val="Compact"/>
      </w:pPr>
      <w:r>
        <w:rPr>
          <w:rStyle w:val="VerbatimChar"/>
        </w:rPr>
        <w:t xml:space="preserve">NP_TYPE=def-np.dem-dist</w:t>
      </w:r>
      <w:r>
        <w:t xml:space="preserve">: distal</w:t>
      </w:r>
      <w:r>
        <w:t xml:space="preserve"> </w:t>
      </w:r>
      <w:r>
        <w:rPr>
          <w:iCs/>
          <w:i/>
        </w:rPr>
        <w:t xml:space="preserve">that man</w:t>
      </w:r>
      <w:r>
        <w:t xml:space="preserve">, ...</w:t>
      </w:r>
    </w:p>
    <w:bookmarkEnd w:id="29"/>
    <w:bookmarkStart w:id="30" w:name="with-possessive-modifier"/>
    <w:p>
      <w:pPr>
        <w:pStyle w:val="Heading4"/>
      </w:pPr>
      <w:r>
        <w:t xml:space="preserve">1.4.2.2 With Possessive Modifier</w:t>
      </w:r>
    </w:p>
    <w:p>
      <w:pPr>
        <w:pStyle w:val="FirstParagraph"/>
      </w:pPr>
      <w:r>
        <w:t xml:space="preserve">Constructions with possessive pronouns.</w:t>
      </w:r>
    </w:p>
    <w:p>
      <w:pPr>
        <w:numPr>
          <w:ilvl w:val="0"/>
          <w:numId w:val="1008"/>
        </w:numPr>
        <w:pStyle w:val="Compact"/>
      </w:pPr>
      <w:r>
        <w:rPr>
          <w:iCs/>
          <w:i/>
        </w:rPr>
        <w:t xml:space="preserve">[his</w:t>
      </w:r>
      <w:r>
        <w:rPr>
          <w:iCs/>
          <w:i/>
        </w:rPr>
        <w:t xml:space="preserve"> </w:t>
      </w:r>
      <w:r>
        <w:rPr>
          <w:iCs/>
          <w:i/>
        </w:rPr>
        <w:t xml:space="preserve">pizza</w:t>
      </w:r>
      <w:r>
        <w:rPr>
          <w:iCs/>
          <w:i/>
        </w:rPr>
        <w:t xml:space="preserve">]</w:t>
      </w:r>
    </w:p>
    <w:p>
      <w:pPr>
        <w:pStyle w:val="FirstParagraph"/>
      </w:pPr>
      <w:r>
        <w:t xml:space="preserve">Also includes potentially genitive or possessive modifier, if these are (potentially) anaphoric</w:t>
      </w:r>
    </w:p>
    <w:p>
      <w:pPr>
        <w:pStyle w:val="BlockText"/>
      </w:pPr>
      <w:r>
        <w:t xml:space="preserve">(6.a)</w:t>
      </w:r>
      <w:r>
        <w:t xml:space="preserve"> </w:t>
      </w:r>
      <w:r>
        <w:rPr>
          <w:iCs/>
          <w:i/>
        </w:rPr>
        <w:t xml:space="preserve">[John's</w:t>
      </w:r>
      <w:r>
        <w:rPr>
          <w:iCs/>
          <w:i/>
        </w:rPr>
        <w:t xml:space="preserve"> </w:t>
      </w:r>
      <w:r>
        <w:rPr>
          <w:iCs/>
          <w:i/>
        </w:rPr>
        <w:t xml:space="preserve">pizza</w:t>
      </w:r>
      <w:r>
        <w:rPr>
          <w:iCs/>
          <w:i/>
        </w:rPr>
        <w:t xml:space="preserve">]</w:t>
      </w:r>
    </w:p>
    <w:p>
      <w:pPr>
        <w:pStyle w:val="BlockText"/>
      </w:pPr>
      <w:r>
        <w:t xml:space="preserve">(6.b)</w:t>
      </w:r>
      <w:r>
        <w:t xml:space="preserve"> </w:t>
      </w:r>
      <w:r>
        <w:rPr>
          <w:iCs/>
          <w:i/>
        </w:rPr>
        <w:t xml:space="preserve">[the</w:t>
      </w:r>
      <w:r>
        <w:rPr>
          <w:iCs/>
          <w:i/>
        </w:rPr>
        <w:t xml:space="preserve"> </w:t>
      </w:r>
      <w:r>
        <w:rPr>
          <w:iCs/>
          <w:i/>
        </w:rPr>
        <w:t xml:space="preserve">pizza</w:t>
      </w:r>
      <w:r>
        <w:rPr>
          <w:iCs/>
          <w:i/>
        </w:rPr>
        <w:t xml:space="preserve"> </w:t>
      </w:r>
      <w:r>
        <w:rPr>
          <w:iCs/>
          <w:i/>
        </w:rPr>
        <w:t xml:space="preserve">of John]</w:t>
      </w:r>
    </w:p>
    <w:p>
      <w:pPr>
        <w:pStyle w:val="BlockText"/>
      </w:pPr>
      <w:r>
        <w:t xml:space="preserve">(6.c)</w:t>
      </w:r>
      <w:r>
        <w:t xml:space="preserve"> </w:t>
      </w:r>
      <w:r>
        <w:rPr>
          <w:iCs/>
          <w:i/>
        </w:rPr>
        <w:t xml:space="preserve">[the other man’s</w:t>
      </w:r>
      <w:r>
        <w:rPr>
          <w:iCs/>
          <w:i/>
        </w:rPr>
        <w:t xml:space="preserve"> </w:t>
      </w:r>
      <w:r>
        <w:rPr>
          <w:iCs/>
          <w:i/>
        </w:rPr>
        <w:t xml:space="preserve">pizza</w:t>
      </w:r>
      <w:r>
        <w:rPr>
          <w:iCs/>
          <w:i/>
        </w:rPr>
        <w:t xml:space="preserve">]</w:t>
      </w:r>
    </w:p>
    <w:p>
      <w:pPr>
        <w:pStyle w:val="BlockText"/>
      </w:pPr>
      <w:r>
        <w:t xml:space="preserve">(6.d)</w:t>
      </w:r>
      <w:r>
        <w:t xml:space="preserve"> </w:t>
      </w:r>
      <w:r>
        <w:rPr>
          <w:iCs/>
          <w:i/>
        </w:rPr>
        <w:t xml:space="preserve">[this man’s</w:t>
      </w:r>
      <w:r>
        <w:rPr>
          <w:iCs/>
          <w:i/>
        </w:rPr>
        <w:t xml:space="preserve"> </w:t>
      </w:r>
      <w:r>
        <w:rPr>
          <w:iCs/>
          <w:i/>
        </w:rPr>
        <w:t xml:space="preserve">pizza</w:t>
      </w:r>
      <w:r>
        <w:rPr>
          <w:iCs/>
          <w:i/>
        </w:rPr>
        <w:t xml:space="preserve">]</w:t>
      </w:r>
    </w:p>
    <w:p>
      <w:pPr>
        <w:pStyle w:val="FirstParagraph"/>
      </w:pPr>
      <w:r>
        <w:rPr>
          <w:bCs/>
          <w:b/>
        </w:rPr>
        <w:t xml:space="preserve">but not</w:t>
      </w:r>
      <w:r>
        <w:t xml:space="preserve">:</w:t>
      </w:r>
      <w:r>
        <w:t xml:space="preserve"> </w:t>
      </w:r>
      <w:r>
        <w:rPr>
          <w:iCs/>
          <w:i/>
        </w:rPr>
        <w:t xml:space="preserve">[a man’s pizza]</w:t>
      </w:r>
    </w:p>
    <w:bookmarkEnd w:id="30"/>
    <w:bookmarkStart w:id="31" w:name="quantified-definite-np"/>
    <w:p>
      <w:pPr>
        <w:pStyle w:val="Heading4"/>
      </w:pPr>
      <w:r>
        <w:t xml:space="preserve">1.4.2.3 Quantified Definite NP</w:t>
      </w:r>
    </w:p>
    <w:p>
      <w:pPr>
        <w:pStyle w:val="FirstParagraph"/>
      </w:pPr>
      <w:r>
        <w:t xml:space="preserve">At the moment, this includes cases where a quantifier is combined with a definite article (</w:t>
      </w:r>
      <w:r>
        <w:rPr>
          <w:rStyle w:val="VerbatimChar"/>
        </w:rPr>
        <w:t xml:space="preserve">the two men</w:t>
      </w:r>
      <w:r>
        <w:t xml:space="preserve">) or with determiner 'both'</w:t>
      </w:r>
    </w:p>
    <w:p>
      <w:pPr>
        <w:pStyle w:val="BlockText"/>
      </w:pPr>
      <w:r>
        <w:t xml:space="preserve">(7.a)</w:t>
      </w:r>
      <w:r>
        <w:t xml:space="preserve"> </w:t>
      </w:r>
      <w:r>
        <w:rPr>
          <w:iCs/>
          <w:i/>
        </w:rPr>
        <w:t xml:space="preserve">[the two</w:t>
      </w:r>
      <w:r>
        <w:rPr>
          <w:iCs/>
          <w:i/>
        </w:rPr>
        <w:t xml:space="preserve"> </w:t>
      </w:r>
      <w:r>
        <w:rPr>
          <w:iCs/>
          <w:i/>
        </w:rPr>
        <w:t xml:space="preserve">pizzas</w:t>
      </w:r>
      <w:r>
        <w:rPr>
          <w:iCs/>
          <w:i/>
        </w:rPr>
        <w:t xml:space="preserve">]</w:t>
      </w:r>
      <w:r>
        <w:t xml:space="preserve"> </w:t>
      </w:r>
      <w:r>
        <w:t xml:space="preserve">(7.b)</w:t>
      </w:r>
      <w:r>
        <w:t xml:space="preserve"> </w:t>
      </w:r>
      <w:r>
        <w:rPr>
          <w:iCs/>
          <w:i/>
        </w:rPr>
        <w:t xml:space="preserve">[both</w:t>
      </w:r>
      <w:r>
        <w:rPr>
          <w:iCs/>
          <w:i/>
        </w:rPr>
        <w:t xml:space="preserve"> </w:t>
      </w:r>
      <w:r>
        <w:rPr>
          <w:iCs/>
          <w:i/>
        </w:rPr>
        <w:t xml:space="preserve">pizzas</w:t>
      </w:r>
      <w:r>
        <w:rPr>
          <w:iCs/>
          <w:i/>
        </w:rPr>
        <w:t xml:space="preserve">]</w:t>
      </w:r>
    </w:p>
    <w:p>
      <w:pPr>
        <w:pStyle w:val="FirstParagraph"/>
      </w:pPr>
      <w:r>
        <w:t xml:space="preserve">But not:</w:t>
      </w:r>
      <w:r>
        <w:t xml:space="preserve"> </w:t>
      </w:r>
      <w:r>
        <w:rPr>
          <w:iCs/>
          <w:i/>
        </w:rPr>
        <w:t xml:space="preserve">two pizzas</w:t>
      </w:r>
      <w:r>
        <w:t xml:space="preserve">. As for constructions like</w:t>
      </w:r>
      <w:r>
        <w:t xml:space="preserve"> </w:t>
      </w:r>
      <w:r>
        <w:rPr>
          <w:iCs/>
          <w:i/>
        </w:rPr>
        <w:t xml:space="preserve">two of these pizzas</w:t>
      </w:r>
      <w:r>
        <w:t xml:space="preserve">, this is formally a possessive construction.</w:t>
      </w:r>
    </w:p>
    <w:bookmarkEnd w:id="31"/>
    <w:bookmarkStart w:id="32" w:name="with-definite-article"/>
    <w:p>
      <w:pPr>
        <w:pStyle w:val="Heading4"/>
      </w:pPr>
      <w:r>
        <w:t xml:space="preserve">1.4.2.4 With Definite Article</w:t>
      </w:r>
    </w:p>
    <w:p>
      <w:pPr>
        <w:pStyle w:val="FirstParagraph"/>
      </w:pPr>
      <w:r>
        <w:t xml:space="preserve">Any NP with a definite article not covered by any aforementioned category</w:t>
      </w:r>
    </w:p>
    <w:p>
      <w:pPr>
        <w:numPr>
          <w:ilvl w:val="0"/>
          <w:numId w:val="1009"/>
        </w:numPr>
        <w:pStyle w:val="Compact"/>
      </w:pPr>
      <w:r>
        <w:rPr>
          <w:iCs/>
          <w:i/>
        </w:rPr>
        <w:t xml:space="preserve">[the</w:t>
      </w:r>
      <w:r>
        <w:rPr>
          <w:iCs/>
          <w:i/>
        </w:rPr>
        <w:t xml:space="preserve"> </w:t>
      </w:r>
      <w:r>
        <w:rPr>
          <w:iCs/>
          <w:i/>
        </w:rPr>
        <w:t xml:space="preserve">pizza</w:t>
      </w:r>
      <w:r>
        <w:rPr>
          <w:iCs/>
          <w:i/>
        </w:rPr>
        <w:t xml:space="preserve">]</w:t>
      </w:r>
    </w:p>
    <w:bookmarkEnd w:id="32"/>
    <w:bookmarkStart w:id="33" w:name="np-with-other"/>
    <w:p>
      <w:pPr>
        <w:pStyle w:val="Heading4"/>
      </w:pPr>
      <w:r>
        <w:t xml:space="preserve">1.4.2.5 NP with</w:t>
      </w:r>
      <w:r>
        <w:t xml:space="preserve"> </w:t>
      </w:r>
      <w:r>
        <w:t xml:space="preserve">“</w:t>
      </w:r>
      <w:r>
        <w:t xml:space="preserve">Other</w:t>
      </w:r>
      <w:r>
        <w:t xml:space="preserve">”</w:t>
      </w:r>
    </w:p>
    <w:p>
      <w:pPr>
        <w:pStyle w:val="FirstParagraph"/>
      </w:pPr>
      <w:r>
        <w:t xml:space="preserve">Definite NPs containing adjectives like</w:t>
      </w:r>
      <w:r>
        <w:t xml:space="preserve"> </w:t>
      </w:r>
      <w:r>
        <w:rPr>
          <w:iCs/>
          <w:i/>
        </w:rPr>
        <w:t xml:space="preserve">other</w:t>
      </w:r>
    </w:p>
    <w:p>
      <w:pPr>
        <w:numPr>
          <w:ilvl w:val="0"/>
          <w:numId w:val="1010"/>
        </w:numPr>
        <w:pStyle w:val="Compact"/>
      </w:pPr>
      <w:r>
        <w:rPr>
          <w:iCs/>
          <w:i/>
        </w:rPr>
        <w:t xml:space="preserve">the other man</w:t>
      </w:r>
    </w:p>
    <w:bookmarkEnd w:id="33"/>
    <w:bookmarkEnd w:id="34"/>
    <w:bookmarkStart w:id="35" w:name="proper-names-and-titles"/>
    <w:p>
      <w:pPr>
        <w:pStyle w:val="Heading3"/>
      </w:pPr>
      <w:r>
        <w:t xml:space="preserve">1.4.3 Proper Names and Titles</w:t>
      </w:r>
    </w:p>
    <w:p>
      <w:pPr>
        <w:pStyle w:val="FirstParagraph"/>
      </w:pPr>
      <w:r>
        <w:t xml:space="preserve">Typical instances of proper names are geographic places</w:t>
      </w:r>
      <w:r>
        <w:t xml:space="preserve"> </w:t>
      </w:r>
      <w:r>
        <w:t xml:space="preserve">(</w:t>
      </w:r>
      <w:r>
        <w:rPr>
          <w:iCs/>
          <w:i/>
        </w:rPr>
        <w:t xml:space="preserve">Philadelphia</w:t>
      </w:r>
      <w:r>
        <w:t xml:space="preserve">), persons (</w:t>
      </w:r>
      <w:r>
        <w:rPr>
          <w:iCs/>
          <w:i/>
        </w:rPr>
        <w:t xml:space="preserve">Judge Jenkins</w:t>
      </w:r>
      <w:r>
        <w:t xml:space="preserve">), companies (</w:t>
      </w:r>
      <w:r>
        <w:rPr>
          <w:iCs/>
          <w:i/>
        </w:rPr>
        <w:t xml:space="preserve">Morgan</w:t>
      </w:r>
      <w:r>
        <w:rPr>
          <w:iCs/>
          <w:i/>
        </w:rPr>
        <w:t xml:space="preserve"> </w:t>
      </w:r>
      <w:r>
        <w:rPr>
          <w:iCs/>
          <w:i/>
        </w:rPr>
        <w:t xml:space="preserve">Stanley &amp; Co.</w:t>
      </w:r>
      <w:r>
        <w:t xml:space="preserve">), newspaper titles (</w:t>
      </w:r>
      <w:r>
        <w:rPr>
          <w:iCs/>
          <w:i/>
        </w:rPr>
        <w:t xml:space="preserve">The New York Times</w:t>
      </w:r>
      <w:r>
        <w:t xml:space="preserve">), political, social or financial institution names (</w:t>
      </w:r>
      <w:r>
        <w:rPr>
          <w:iCs/>
          <w:i/>
        </w:rPr>
        <w:t xml:space="preserve">Congress, European Investment</w:t>
      </w:r>
      <w:r>
        <w:rPr>
          <w:iCs/>
          <w:i/>
        </w:rPr>
        <w:t xml:space="preserve"> </w:t>
      </w:r>
      <w:r>
        <w:rPr>
          <w:iCs/>
          <w:i/>
        </w:rPr>
        <w:t xml:space="preserve">Bank</w:t>
      </w:r>
      <w:r>
        <w:t xml:space="preserve"> </w:t>
      </w:r>
      <w:r>
        <w:t xml:space="preserve">). Proper names can include noun modifiers or be heads of a definite or indefinite description. In this case, the whole description has to be marked up, not just the head.</w:t>
      </w:r>
    </w:p>
    <w:p>
      <w:pPr>
        <w:pStyle w:val="BlockText"/>
      </w:pPr>
      <w:r>
        <w:t xml:space="preserve">(10.a)</w:t>
      </w:r>
      <w:r>
        <w:t xml:space="preserve"> </w:t>
      </w:r>
      <w:r>
        <w:rPr>
          <w:iCs/>
          <w:i/>
        </w:rPr>
        <w:t xml:space="preserve">[Bertolt</w:t>
      </w:r>
      <w:r>
        <w:rPr>
          <w:iCs/>
          <w:i/>
        </w:rPr>
        <w:t xml:space="preserve"> </w:t>
      </w:r>
      <w:r>
        <w:rPr>
          <w:iCs/>
          <w:i/>
        </w:rPr>
        <w:t xml:space="preserve">Brecht</w:t>
      </w:r>
      <w:r>
        <w:rPr>
          <w:iCs/>
          <w:i/>
        </w:rPr>
        <w:t xml:space="preserve">]</w:t>
      </w:r>
      <w:r>
        <w:t xml:space="preserve"> </w:t>
      </w:r>
      <w:r>
        <w:t xml:space="preserve">(full name)</w:t>
      </w:r>
    </w:p>
    <w:p>
      <w:pPr>
        <w:pStyle w:val="BlockText"/>
      </w:pPr>
      <w:r>
        <w:t xml:space="preserve">(10.b)</w:t>
      </w:r>
      <w:r>
        <w:t xml:space="preserve"> </w:t>
      </w:r>
      <w:r>
        <w:rPr>
          <w:iCs/>
          <w:i/>
        </w:rPr>
        <w:t xml:space="preserve">[Bert</w:t>
      </w:r>
      <w:r>
        <w:rPr>
          <w:iCs/>
          <w:i/>
        </w:rPr>
        <w:t xml:space="preserve"> </w:t>
      </w:r>
      <w:r>
        <w:rPr>
          <w:iCs/>
          <w:i/>
        </w:rPr>
        <w:t xml:space="preserve">Brecht</w:t>
      </w:r>
      <w:r>
        <w:rPr>
          <w:iCs/>
          <w:i/>
        </w:rPr>
        <w:t xml:space="preserve">]</w:t>
      </w:r>
      <w:r>
        <w:t xml:space="preserve"> </w:t>
      </w:r>
      <w:r>
        <w:t xml:space="preserve">(reduced full name)</w:t>
      </w:r>
    </w:p>
    <w:p>
      <w:pPr>
        <w:pStyle w:val="BlockText"/>
      </w:pPr>
      <w:r>
        <w:t xml:space="preserve">(10.c)</w:t>
      </w:r>
      <w:r>
        <w:t xml:space="preserve"> </w:t>
      </w:r>
      <w:r>
        <w:rPr>
          <w:iCs/>
          <w:i/>
        </w:rPr>
        <w:t xml:space="preserve">Brecht</w:t>
      </w:r>
      <w:r>
        <w:t xml:space="preserve"> </w:t>
      </w:r>
      <w:r>
        <w:t xml:space="preserve">(surname)</w:t>
      </w:r>
    </w:p>
    <w:p>
      <w:pPr>
        <w:pStyle w:val="BlockText"/>
      </w:pPr>
      <w:r>
        <w:t xml:space="preserve">(10.d)</w:t>
      </w:r>
      <w:r>
        <w:t xml:space="preserve"> </w:t>
      </w:r>
      <w:r>
        <w:rPr>
          <w:iCs/>
          <w:i/>
        </w:rPr>
        <w:t xml:space="preserve">Bertolt</w:t>
      </w:r>
      <w:r>
        <w:t xml:space="preserve"> </w:t>
      </w:r>
      <w:r>
        <w:t xml:space="preserve">(first name)</w:t>
      </w:r>
    </w:p>
    <w:p>
      <w:pPr>
        <w:pStyle w:val="BlockText"/>
      </w:pPr>
      <w:r>
        <w:t xml:space="preserve">(10.e)</w:t>
      </w:r>
      <w:r>
        <w:t xml:space="preserve"> </w:t>
      </w:r>
      <w:r>
        <w:rPr>
          <w:iCs/>
          <w:i/>
        </w:rPr>
        <w:t xml:space="preserve">Bert</w:t>
      </w:r>
      <w:r>
        <w:t xml:space="preserve"> </w:t>
      </w:r>
      <w:r>
        <w:t xml:space="preserve">(nickname)</w:t>
      </w:r>
    </w:p>
    <w:p>
      <w:pPr>
        <w:pStyle w:val="BlockText"/>
      </w:pPr>
      <w:r>
        <w:t xml:space="preserve">(10.f)</w:t>
      </w:r>
      <w:r>
        <w:t xml:space="preserve"> </w:t>
      </w:r>
      <w:r>
        <w:rPr>
          <w:iCs/>
          <w:i/>
        </w:rPr>
        <w:t xml:space="preserve">BB</w:t>
      </w:r>
      <w:r>
        <w:t xml:space="preserve"> </w:t>
      </w:r>
      <w:r>
        <w:t xml:space="preserve">(abbreviation)</w:t>
      </w:r>
    </w:p>
    <w:p>
      <w:pPr>
        <w:pStyle w:val="BlockText"/>
      </w:pPr>
      <w:r>
        <w:t xml:space="preserve">(10.g)</w:t>
      </w:r>
      <w:r>
        <w:t xml:space="preserve"> </w:t>
      </w:r>
      <w:r>
        <w:rPr>
          <w:iCs/>
          <w:i/>
        </w:rPr>
        <w:t xml:space="preserve">the well-known</w:t>
      </w:r>
      <w:r>
        <w:rPr>
          <w:iCs/>
          <w:i/>
        </w:rPr>
        <w:t xml:space="preserve"> </w:t>
      </w:r>
      <w:r>
        <w:rPr>
          <w:iCs/>
          <w:i/>
        </w:rPr>
        <w:t xml:space="preserve">Brecht</w:t>
      </w:r>
      <w:r>
        <w:t xml:space="preserve"> </w:t>
      </w:r>
      <w:r>
        <w:t xml:space="preserve">(name, modified by a definite description)</w:t>
      </w:r>
    </w:p>
    <w:p>
      <w:pPr>
        <w:pStyle w:val="BlockText"/>
      </w:pPr>
      <w:r>
        <w:t xml:space="preserve">(10.h)</w:t>
      </w:r>
      <w:r>
        <w:t xml:space="preserve"> </w:t>
      </w:r>
      <w:r>
        <w:rPr>
          <w:iCs/>
          <w:i/>
        </w:rPr>
        <w:t xml:space="preserve">Brecht</w:t>
      </w:r>
      <w:r>
        <w:rPr>
          <w:iCs/>
          <w:i/>
        </w:rPr>
        <w:t xml:space="preserve">, who is author of the</w:t>
      </w:r>
      <w:r>
        <w:rPr>
          <w:iCs/>
          <w:i/>
        </w:rPr>
        <w:t xml:space="preserve"> </w:t>
      </w:r>
      <w:r>
        <w:rPr>
          <w:iCs/>
          <w:i/>
        </w:rPr>
        <w:t xml:space="preserve">“</w:t>
      </w:r>
      <w:r>
        <w:rPr>
          <w:iCs/>
          <w:i/>
        </w:rPr>
        <w:t xml:space="preserve">Dreigroschenoper</w:t>
      </w:r>
      <w:r>
        <w:rPr>
          <w:iCs/>
          <w:i/>
        </w:rPr>
        <w:t xml:space="preserve">”</w:t>
      </w:r>
      <w:r>
        <w:t xml:space="preserve"> </w:t>
      </w:r>
      <w:r>
        <w:t xml:space="preserve">(proper name + clause)</w:t>
      </w:r>
    </w:p>
    <w:p>
      <w:pPr>
        <w:pStyle w:val="BlockText"/>
      </w:pPr>
      <w:r>
        <w:t xml:space="preserve">(10.i)</w:t>
      </w:r>
      <w:r>
        <w:t xml:space="preserve"> </w:t>
      </w:r>
      <w:r>
        <w:rPr>
          <w:iCs/>
          <w:i/>
        </w:rPr>
        <w:t xml:space="preserve">Brecht</w:t>
      </w:r>
      <w:r>
        <w:rPr>
          <w:iCs/>
          <w:i/>
        </w:rPr>
        <w:t xml:space="preserve">, author of the</w:t>
      </w:r>
      <w:r>
        <w:rPr>
          <w:iCs/>
          <w:i/>
        </w:rPr>
        <w:t xml:space="preserve"> </w:t>
      </w:r>
      <w:r>
        <w:rPr>
          <w:iCs/>
          <w:i/>
        </w:rPr>
        <w:t xml:space="preserve">“</w:t>
      </w:r>
      <w:r>
        <w:rPr>
          <w:iCs/>
          <w:i/>
        </w:rPr>
        <w:t xml:space="preserve">Dreigroschenoper</w:t>
      </w:r>
      <w:r>
        <w:rPr>
          <w:iCs/>
          <w:i/>
        </w:rPr>
        <w:t xml:space="preserve">”</w:t>
      </w:r>
      <w:r>
        <w:t xml:space="preserve"> </w:t>
      </w:r>
      <w:r>
        <w:t xml:space="preserve">(proper name + apposition)</w:t>
      </w:r>
    </w:p>
    <w:p>
      <w:pPr>
        <w:pStyle w:val="FirstParagraph"/>
      </w:pPr>
      <w:r>
        <w:t xml:space="preserve">Complex proper names are only treated as a single markable and are not further divided. If the internal dependency structure is transparent, annotate the syntactic head. For names composed of given and family names, we consider the name of the individual to be head, and the name of the family as modifier. If the structure of a name is not transparent to a common speaker of the language, annotate the first word that is not clearly recognizable as a modifier.</w:t>
      </w:r>
    </w:p>
    <w:p>
      <w:pPr>
        <w:pStyle w:val="BlockText"/>
      </w:pPr>
      <w:r>
        <w:t xml:space="preserve">(10.j) [Dr. </w:t>
      </w:r>
      <w:r>
        <w:t xml:space="preserve">Mueller</w:t>
      </w:r>
      <w:r>
        <w:t xml:space="preserve">]</w:t>
      </w:r>
    </w:p>
    <w:p>
      <w:pPr>
        <w:pStyle w:val="BlockText"/>
      </w:pPr>
      <w:r>
        <w:t xml:space="preserve">(10.k) [Dr. </w:t>
      </w:r>
      <w:r>
        <w:t xml:space="preserve">Martin</w:t>
      </w:r>
      <w:r>
        <w:t xml:space="preserve"> </w:t>
      </w:r>
      <w:r>
        <w:t xml:space="preserve">Luther King, Jr.]</w:t>
      </w:r>
    </w:p>
    <w:p>
      <w:pPr>
        <w:pStyle w:val="BlockText"/>
      </w:pPr>
      <w:r>
        <w:t xml:space="preserve">(10.l) [Prince</w:t>
      </w:r>
      <w:r>
        <w:t xml:space="preserve"> </w:t>
      </w:r>
      <w:r>
        <w:t xml:space="preserve">Dipangkorn</w:t>
      </w:r>
      <w:r>
        <w:t xml:space="preserve"> </w:t>
      </w:r>
      <w:r>
        <w:t xml:space="preserve">Rasmijoti Sirivibulyarajakumar of Thailand]</w:t>
      </w:r>
    </w:p>
    <w:p>
      <w:pPr>
        <w:pStyle w:val="BlockText"/>
      </w:pPr>
      <w:r>
        <w:t xml:space="preserve">(10.m) [Heidelberger</w:t>
      </w:r>
      <w:r>
        <w:t xml:space="preserve"> </w:t>
      </w:r>
      <w:r>
        <w:t xml:space="preserve">Druckmaschinen</w:t>
      </w:r>
      <w:r>
        <w:t xml:space="preserve"> </w:t>
      </w:r>
      <w:r>
        <w:t xml:space="preserve">Vertrieb Deutschland GmbH]</w:t>
      </w:r>
    </w:p>
    <w:p>
      <w:pPr>
        <w:pStyle w:val="FirstParagraph"/>
      </w:pPr>
      <w:r>
        <w:t xml:space="preserve">Standalone titles that can stand in for an individual (</w:t>
      </w:r>
      <w:r>
        <w:rPr>
          <w:iCs/>
          <w:i/>
        </w:rPr>
        <w:t xml:space="preserve">Mr./Ms./Dr./President/Chairman</w:t>
      </w:r>
      <w:r>
        <w:t xml:space="preserve">) are treated like proper names, e.g.,</w:t>
      </w:r>
    </w:p>
    <w:p>
      <w:pPr>
        <w:pStyle w:val="BlockText"/>
      </w:pPr>
      <w:r>
        <w:t xml:space="preserve">(11.a)</w:t>
      </w:r>
      <w:r>
        <w:t xml:space="preserve"> </w:t>
      </w:r>
      <w:r>
        <w:rPr>
          <w:iCs/>
          <w:i/>
        </w:rPr>
        <w:t xml:space="preserve">Schröder</w:t>
      </w:r>
      <w:r>
        <w:rPr>
          <w:iCs/>
          <w:i/>
        </w:rPr>
        <w:t xml:space="preserve">1</w:t>
      </w:r>
      <w:r>
        <w:rPr>
          <w:iCs/>
          <w:i/>
        </w:rPr>
        <w:t xml:space="preserve">...Fischer</w:t>
      </w:r>
      <w:r>
        <w:rPr>
          <w:iCs/>
          <w:i/>
        </w:rPr>
        <w:t xml:space="preserve">2</w:t>
      </w:r>
      <w:r>
        <w:rPr>
          <w:iCs/>
          <w:i/>
        </w:rPr>
        <w:t xml:space="preserve"> </w:t>
      </w:r>
      <w:r>
        <w:rPr>
          <w:iCs/>
          <w:i/>
        </w:rPr>
        <w:t xml:space="preserve">... Die anfängliche Überreaktion von</w:t>
      </w:r>
      <w:r>
        <w:rPr>
          <w:iCs/>
          <w:i/>
        </w:rPr>
        <w:t xml:space="preserve"> </w:t>
      </w:r>
      <w:r>
        <w:rPr>
          <w:iCs/>
          <w:i/>
        </w:rPr>
        <w:t xml:space="preserve">Kanzler</w:t>
      </w:r>
      <w:r>
        <w:rPr>
          <w:iCs/>
          <w:i/>
        </w:rPr>
        <w:t xml:space="preserve">1</w:t>
      </w:r>
      <w:r>
        <w:rPr>
          <w:iCs/>
          <w:i/>
        </w:rPr>
        <w:t xml:space="preserve"> </w:t>
      </w:r>
      <w:r>
        <w:rPr>
          <w:iCs/>
          <w:i/>
        </w:rPr>
        <w:t xml:space="preserve">und</w:t>
      </w:r>
      <w:r>
        <w:rPr>
          <w:iCs/>
          <w:i/>
        </w:rPr>
        <w:t xml:space="preserve"> </w:t>
      </w:r>
      <w:r>
        <w:rPr>
          <w:iCs/>
          <w:i/>
        </w:rPr>
        <w:t xml:space="preserve">Außenminister</w:t>
      </w:r>
      <w:r>
        <w:rPr>
          <w:iCs/>
          <w:i/>
        </w:rPr>
        <w:t xml:space="preserve">2</w:t>
      </w:r>
      <w:r>
        <w:rPr>
          <w:iCs/>
          <w:i/>
        </w:rPr>
        <w:t xml:space="preserve">...</w:t>
      </w:r>
    </w:p>
    <w:p>
      <w:pPr>
        <w:pStyle w:val="FirstParagraph"/>
      </w:pPr>
      <w:r>
        <w:t xml:space="preserve">In (11.a),</w:t>
      </w:r>
      <w:r>
        <w:t xml:space="preserve"> </w:t>
      </w:r>
      <w:r>
        <w:rPr>
          <w:iCs/>
          <w:i/>
        </w:rPr>
        <w:t xml:space="preserve">Kanzler</w:t>
      </w:r>
      <w:r>
        <w:t xml:space="preserve"> </w:t>
      </w:r>
      <w:r>
        <w:t xml:space="preserve">and</w:t>
      </w:r>
      <w:r>
        <w:t xml:space="preserve"> </w:t>
      </w:r>
      <w:r>
        <w:rPr>
          <w:iCs/>
          <w:i/>
        </w:rPr>
        <w:t xml:space="preserve">Außenminister</w:t>
      </w:r>
      <w:r>
        <w:t xml:space="preserve"> </w:t>
      </w:r>
      <w:r>
        <w:t xml:space="preserve">have to be annotated as primary markables, because proper names are inherently definite</w:t>
      </w:r>
    </w:p>
    <w:p>
      <w:pPr>
        <w:pStyle w:val="BodyText"/>
      </w:pPr>
      <w:r>
        <w:t xml:space="preserve">Parts of complex proper names cannot be analyzed separately. So, in the following example,</w:t>
      </w:r>
      <w:r>
        <w:t xml:space="preserve"> </w:t>
      </w:r>
      <w:r>
        <w:rPr>
          <w:iCs/>
          <w:i/>
        </w:rPr>
        <w:t xml:space="preserve">Petrie</w:t>
      </w:r>
      <w:r>
        <w:t xml:space="preserve"> </w:t>
      </w:r>
      <w:r>
        <w:t xml:space="preserve">in</w:t>
      </w:r>
      <w:r>
        <w:t xml:space="preserve"> </w:t>
      </w:r>
      <w:r>
        <w:rPr>
          <w:iCs/>
          <w:i/>
        </w:rPr>
        <w:t xml:space="preserve">[of</w:t>
      </w:r>
      <w:r>
        <w:rPr>
          <w:iCs/>
          <w:i/>
        </w:rPr>
        <w:t xml:space="preserve"> </w:t>
      </w:r>
      <w:r>
        <w:rPr>
          <w:iCs/>
          <w:i/>
        </w:rPr>
        <w:t xml:space="preserve">Petrie Stores Corp.]</w:t>
      </w:r>
      <w:r>
        <w:t xml:space="preserve"> </w:t>
      </w:r>
      <w:r>
        <w:t xml:space="preserve">should not be annotated!</w:t>
      </w:r>
    </w:p>
    <w:p>
      <w:pPr>
        <w:pStyle w:val="BlockText"/>
      </w:pPr>
      <w:r>
        <w:t xml:space="preserve">(11.b)</w:t>
      </w:r>
      <w:r>
        <w:t xml:space="preserve"> </w:t>
      </w:r>
      <w:r>
        <w:rPr>
          <w:iCs/>
          <w:i/>
        </w:rPr>
        <w:t xml:space="preserve">[Milton Petrie, chairman [of Petrie Stores Corp.] said...</w:t>
      </w:r>
    </w:p>
    <w:bookmarkEnd w:id="35"/>
    <w:bookmarkEnd w:id="36"/>
    <w:bookmarkStart w:id="43" w:name="secondary-markables"/>
    <w:p>
      <w:pPr>
        <w:pStyle w:val="Heading2"/>
      </w:pPr>
      <w:r>
        <w:t xml:space="preserve">1.5 Secondary Markables</w:t>
      </w:r>
    </w:p>
    <w:p>
      <w:pPr>
        <w:pStyle w:val="FirstParagraph"/>
      </w:pPr>
      <w:r>
        <w:t xml:space="preserve">Every nominal phrase or pronoun which is neither primary markable nor (confirmed to be) syntactically bound, is subject to automated pre-annotation. Secondary markables are referring expressions that are unlikely/impossible anaphors, but that could</w:t>
      </w:r>
      <w:r>
        <w:t xml:space="preserve"> </w:t>
      </w:r>
      <w:r>
        <w:rPr>
          <w:iCs/>
          <w:i/>
        </w:rPr>
        <w:t xml:space="preserve">introduce</w:t>
      </w:r>
      <w:r>
        <w:t xml:space="preserve"> </w:t>
      </w:r>
      <w:r>
        <w:t xml:space="preserve">new discourse referents.</w:t>
      </w:r>
    </w:p>
    <w:p>
      <w:pPr>
        <w:pStyle w:val="BodyText"/>
      </w:pPr>
      <w:r>
        <w:t xml:space="preserve">Common types of secondary marakbles include: indefinite NPs and indefinite or non-referring pronouns.</w:t>
      </w:r>
    </w:p>
    <w:p>
      <w:pPr>
        <w:pStyle w:val="BodyText"/>
      </w:pPr>
      <w:r>
        <w:t xml:space="preserve">Annotate the secondary markable only if you are certain about the reference. If another reading is equally possible or feels more likely, do not annotate the secondary markable. (Add a comment about your uncertainty.)</w:t>
      </w:r>
    </w:p>
    <w:p>
      <w:pPr>
        <w:numPr>
          <w:ilvl w:val="0"/>
          <w:numId w:val="1011"/>
        </w:numPr>
        <w:pStyle w:val="Compact"/>
      </w:pPr>
      <w:r>
        <w:rPr>
          <w:iCs/>
          <w:i/>
        </w:rPr>
        <w:t xml:space="preserve">I saw [a</w:t>
      </w:r>
      <w:r>
        <w:rPr>
          <w:iCs/>
          <w:i/>
        </w:rPr>
        <w:t xml:space="preserve"> </w:t>
      </w:r>
      <w:r>
        <w:rPr>
          <w:iCs/>
          <w:i/>
        </w:rPr>
        <w:t xml:space="preserve">cat</w:t>
      </w:r>
      <w:r>
        <w:rPr>
          <w:iCs/>
          <w:i/>
        </w:rPr>
        <w:t xml:space="preserve">] tonight in the street.</w:t>
      </w:r>
      <w:r>
        <w:rPr>
          <w:iCs/>
          <w:i/>
        </w:rPr>
        <w:t xml:space="preserve"> </w:t>
      </w:r>
      <w:r>
        <w:rPr>
          <w:iCs/>
          <w:i/>
        </w:rPr>
        <w:t xml:space="preserve">It(= the cat)</w:t>
      </w:r>
      <w:r>
        <w:rPr>
          <w:iCs/>
          <w:i/>
        </w:rPr>
        <w:t xml:space="preserve"> </w:t>
      </w:r>
      <w:r>
        <w:rPr>
          <w:iCs/>
          <w:i/>
        </w:rPr>
        <w:t xml:space="preserve">was gray.</w:t>
      </w:r>
    </w:p>
    <w:p>
      <w:pPr>
        <w:pStyle w:val="FirstParagraph"/>
      </w:pPr>
      <w:r>
        <w:rPr>
          <w:bCs/>
          <w:b/>
        </w:rPr>
        <w:t xml:space="preserve">but not</w:t>
      </w:r>
      <w:r>
        <w:t xml:space="preserve">:</w:t>
      </w:r>
      <w:r>
        <w:t xml:space="preserve"> </w:t>
      </w:r>
      <w:r>
        <w:rPr>
          <w:iCs/>
          <w:i/>
        </w:rPr>
        <w:t xml:space="preserve">I saw a cat tonight in the street.</w:t>
      </w:r>
      <w:r>
        <w:rPr>
          <w:iCs/>
          <w:i/>
        </w:rPr>
        <w:t xml:space="preserve"> </w:t>
      </w:r>
      <w:r>
        <w:rPr>
          <w:iCs/>
          <w:i/>
        </w:rPr>
        <w:t xml:space="preserve">It(= the night/expletive?)</w:t>
      </w:r>
      <w:r>
        <w:rPr>
          <w:iCs/>
          <w:i/>
        </w:rPr>
        <w:t xml:space="preserve"> </w:t>
      </w:r>
      <w:r>
        <w:rPr>
          <w:iCs/>
          <w:i/>
        </w:rPr>
        <w:t xml:space="preserve">was pitch black.</w:t>
      </w:r>
    </w:p>
    <w:bookmarkStart w:id="37" w:name="indefinite-nps"/>
    <w:p>
      <w:pPr>
        <w:pStyle w:val="Heading3"/>
      </w:pPr>
      <w:r>
        <w:t xml:space="preserve">1.5.1 Indefinite NPs</w:t>
      </w:r>
    </w:p>
    <w:p>
      <w:pPr>
        <w:pStyle w:val="BlockText"/>
      </w:pPr>
      <w:r>
        <w:t xml:space="preserve">(12.a)</w:t>
      </w:r>
      <w:r>
        <w:t xml:space="preserve"> </w:t>
      </w:r>
      <w:r>
        <w:rPr>
          <w:iCs/>
          <w:i/>
        </w:rPr>
        <w:t xml:space="preserve">There is a [a</w:t>
      </w:r>
      <w:r>
        <w:rPr>
          <w:iCs/>
          <w:i/>
        </w:rPr>
        <w:t xml:space="preserve"> </w:t>
      </w:r>
      <w:r>
        <w:rPr>
          <w:iCs/>
          <w:i/>
        </w:rPr>
        <w:t xml:space="preserve">fox</w:t>
      </w:r>
      <w:r>
        <w:rPr>
          <w:iCs/>
          <w:i/>
        </w:rPr>
        <w:t xml:space="preserve">] running across the street.</w:t>
      </w:r>
      <w:r>
        <w:rPr>
          <w:iCs/>
          <w:i/>
        </w:rPr>
        <w:t xml:space="preserve"> </w:t>
      </w:r>
      <w:r>
        <w:rPr>
          <w:iCs/>
          <w:i/>
        </w:rPr>
        <w:t xml:space="preserve">It</w:t>
      </w:r>
      <w:r>
        <w:rPr>
          <w:iCs/>
          <w:i/>
        </w:rPr>
        <w:t xml:space="preserve">’s fast!.</w:t>
      </w:r>
    </w:p>
    <w:p>
      <w:pPr>
        <w:pStyle w:val="BlockText"/>
      </w:pPr>
      <w:r>
        <w:t xml:space="preserve">(12.b)</w:t>
      </w:r>
      <w:r>
        <w:t xml:space="preserve"> </w:t>
      </w:r>
      <w:r>
        <w:rPr>
          <w:iCs/>
          <w:i/>
        </w:rPr>
        <w:t xml:space="preserve">I last saw [a</w:t>
      </w:r>
      <w:r>
        <w:rPr>
          <w:iCs/>
          <w:i/>
        </w:rPr>
        <w:t xml:space="preserve"> </w:t>
      </w:r>
      <w:r>
        <w:rPr>
          <w:iCs/>
          <w:i/>
        </w:rPr>
        <w:t xml:space="preserve">fox</w:t>
      </w:r>
      <w:r>
        <w:rPr>
          <w:iCs/>
          <w:i/>
        </w:rPr>
        <w:t xml:space="preserve">] about three years ago!</w:t>
      </w:r>
      <w:r>
        <w:rPr>
          <w:iCs/>
          <w:i/>
        </w:rPr>
        <w:t xml:space="preserve"> </w:t>
      </w:r>
      <w:r>
        <w:rPr>
          <w:iCs/>
          <w:i/>
        </w:rPr>
        <w:t xml:space="preserve">It</w:t>
      </w:r>
      <w:r>
        <w:rPr>
          <w:iCs/>
          <w:i/>
        </w:rPr>
        <w:t xml:space="preserve"> </w:t>
      </w:r>
      <w:r>
        <w:rPr>
          <w:iCs/>
          <w:i/>
        </w:rPr>
        <w:t xml:space="preserve">came from the forest.</w:t>
      </w:r>
    </w:p>
    <w:p>
      <w:pPr>
        <w:pStyle w:val="FirstParagraph"/>
      </w:pPr>
      <w:r>
        <w:t xml:space="preserve">This also includes indefinites with other, e.g. </w:t>
      </w:r>
      <w:r>
        <w:rPr>
          <w:iCs/>
          <w:i/>
        </w:rPr>
        <w:t xml:space="preserve">another man</w:t>
      </w:r>
    </w:p>
    <w:p>
      <w:pPr>
        <w:pStyle w:val="BodyText"/>
      </w:pPr>
      <w:r>
        <w:t xml:space="preserve">NPs with indefinite quantifier, also including quantified expressions not otherwise annotated as primary markables</w:t>
      </w:r>
    </w:p>
    <w:p>
      <w:pPr>
        <w:pStyle w:val="BlockText"/>
      </w:pPr>
      <w:r>
        <w:t xml:space="preserve">(13.a)</w:t>
      </w:r>
      <w:r>
        <w:t xml:space="preserve"> </w:t>
      </w:r>
      <w:r>
        <w:rPr>
          <w:iCs/>
          <w:i/>
        </w:rPr>
        <w:t xml:space="preserve">[some people]</w:t>
      </w:r>
    </w:p>
    <w:p>
      <w:pPr>
        <w:pStyle w:val="BlockText"/>
      </w:pPr>
      <w:r>
        <w:t xml:space="preserve">(13.b)</w:t>
      </w:r>
      <w:r>
        <w:t xml:space="preserve"> </w:t>
      </w:r>
      <w:r>
        <w:rPr>
          <w:iCs/>
          <w:i/>
        </w:rPr>
        <w:t xml:space="preserve">[some plants]</w:t>
      </w:r>
    </w:p>
    <w:p>
      <w:pPr>
        <w:pStyle w:val="BlockText"/>
      </w:pPr>
      <w:r>
        <w:t xml:space="preserve">(14.c)</w:t>
      </w:r>
      <w:r>
        <w:t xml:space="preserve"> </w:t>
      </w:r>
      <w:r>
        <w:rPr>
          <w:iCs/>
          <w:i/>
        </w:rPr>
        <w:t xml:space="preserve">[thirty grams]</w:t>
      </w:r>
      <w:r>
        <w:t xml:space="preserve">,</w:t>
      </w:r>
      <w:r>
        <w:t xml:space="preserve"> </w:t>
      </w:r>
      <w:r>
        <w:rPr>
          <w:iCs/>
          <w:i/>
        </w:rPr>
        <w:t xml:space="preserve">[two companies]</w:t>
      </w:r>
      <w:r>
        <w:t xml:space="preserve"> </w:t>
      </w:r>
      <w:r>
        <w:t xml:space="preserve">(quantified indefinite NP)</w:t>
      </w:r>
    </w:p>
    <w:p>
      <w:pPr>
        <w:pStyle w:val="FirstParagraph"/>
      </w:pPr>
      <w:r>
        <w:t xml:space="preserve">Borderline case: indefinite NPs with an article that is identical (or at least derived from) the cardinal number</w:t>
      </w:r>
      <w:r>
        <w:t xml:space="preserve"> </w:t>
      </w:r>
      <w:r>
        <w:rPr>
          <w:iCs/>
          <w:i/>
        </w:rPr>
        <w:t xml:space="preserve">one</w:t>
      </w:r>
      <w:r>
        <w:t xml:space="preserve"> </w:t>
      </w:r>
      <w:r>
        <w:t xml:space="preserve">should be considered as quantified iff. a corresponding set of individuals has been previously evoked and the membership relation marked as being relevant.</w:t>
      </w:r>
    </w:p>
    <w:p>
      <w:pPr>
        <w:pStyle w:val="BodyText"/>
      </w:pPr>
      <w:r>
        <w:t xml:space="preserve">For English, the latter condition should hold for</w:t>
      </w:r>
      <w:r>
        <w:t xml:space="preserve"> </w:t>
      </w:r>
      <w:r>
        <w:rPr>
          <w:iCs/>
          <w:i/>
        </w:rPr>
        <w:t xml:space="preserve">one</w:t>
      </w:r>
      <w:r>
        <w:t xml:space="preserve">, but not for</w:t>
      </w:r>
      <w:r>
        <w:t xml:space="preserve"> </w:t>
      </w:r>
      <w:r>
        <w:rPr>
          <w:iCs/>
          <w:i/>
        </w:rPr>
        <w:t xml:space="preserve">an, a</w:t>
      </w:r>
      <w:r>
        <w:t xml:space="preserve">, for German, the membership relation should be regarded as being prominent if a substitution of the indefinite article</w:t>
      </w:r>
      <w:r>
        <w:t xml:space="preserve"> </w:t>
      </w:r>
      <w:r>
        <w:rPr>
          <w:iCs/>
          <w:i/>
        </w:rPr>
        <w:t xml:space="preserve">ein, eine</w:t>
      </w:r>
      <w:r>
        <w:t xml:space="preserve"> </w:t>
      </w:r>
      <w:r>
        <w:t xml:space="preserve">by colloquial</w:t>
      </w:r>
      <w:r>
        <w:t xml:space="preserve"> </w:t>
      </w:r>
      <w:r>
        <w:rPr>
          <w:iCs/>
          <w:i/>
        </w:rPr>
        <w:t xml:space="preserve">’n, ’ne</w:t>
      </w:r>
      <w:r>
        <w:t xml:space="preserve"> </w:t>
      </w:r>
      <w:r>
        <w:t xml:space="preserve">appears to be unlikely.</w:t>
      </w:r>
    </w:p>
    <w:p>
      <w:pPr>
        <w:pStyle w:val="BodyText"/>
      </w:pPr>
      <w:r>
        <w:t xml:space="preserve">Articleless NP, especially "bare plurals", but also singular expressions.</w:t>
      </w:r>
    </w:p>
    <w:p>
      <w:pPr>
        <w:pStyle w:val="BlockText"/>
      </w:pPr>
      <w:r>
        <w:t xml:space="preserve">(14.a)</w:t>
      </w:r>
      <w:r>
        <w:t xml:space="preserve"> </w:t>
      </w:r>
      <w:r>
        <w:rPr>
          <w:iCs/>
          <w:i/>
        </w:rPr>
        <w:t xml:space="preserve">I have eaten [cookies]SM</w:t>
      </w:r>
      <w:r>
        <w:t xml:space="preserve"> </w:t>
      </w:r>
      <w:r>
        <w:t xml:space="preserve">(bare plural)</w:t>
      </w:r>
    </w:p>
    <w:p>
      <w:pPr>
        <w:pStyle w:val="BlockText"/>
      </w:pPr>
      <w:r>
        <w:t xml:space="preserve">(14.b)</w:t>
      </w:r>
      <w:r>
        <w:t xml:space="preserve"> </w:t>
      </w:r>
      <w:r>
        <w:rPr>
          <w:iCs/>
          <w:i/>
        </w:rPr>
        <w:t xml:space="preserve">Today will be [good weather]SM</w:t>
      </w:r>
      <w:r>
        <w:t xml:space="preserve"> </w:t>
      </w:r>
      <w:r>
        <w:t xml:space="preserve">(bare singular)</w:t>
      </w:r>
    </w:p>
    <w:bookmarkEnd w:id="37"/>
    <w:bookmarkStart w:id="38" w:name="non-anaphoric-pronouns"/>
    <w:p>
      <w:pPr>
        <w:pStyle w:val="Heading3"/>
      </w:pPr>
      <w:r>
        <w:t xml:space="preserve">1.5.2 Non-anaphoric pronouns</w:t>
      </w:r>
    </w:p>
    <w:p>
      <w:pPr>
        <w:pStyle w:val="FirstParagraph"/>
      </w:pPr>
      <w:r>
        <w:t xml:space="preserve">With optional sub-types:</w:t>
      </w:r>
    </w:p>
    <w:p>
      <w:pPr>
        <w:numPr>
          <w:ilvl w:val="0"/>
          <w:numId w:val="1012"/>
        </w:numPr>
      </w:pPr>
      <w:r>
        <w:t xml:space="preserve">interrogative pronouns:</w:t>
      </w:r>
      <w:r>
        <w:t xml:space="preserve"> </w:t>
      </w:r>
      <w:r>
        <w:rPr>
          <w:iCs/>
          <w:i/>
        </w:rPr>
        <w:t xml:space="preserve">who, where, when, ...</w:t>
      </w:r>
    </w:p>
    <w:p>
      <w:pPr>
        <w:numPr>
          <w:ilvl w:val="0"/>
          <w:numId w:val="1012"/>
        </w:numPr>
      </w:pPr>
      <w:r>
        <w:t xml:space="preserve">indefinite demonstrative pronouns, e.g.,</w:t>
      </w:r>
      <w:r>
        <w:t xml:space="preserve"> </w:t>
      </w:r>
      <w:r>
        <w:rPr>
          <w:iCs/>
          <w:i/>
        </w:rPr>
        <w:t xml:space="preserve">such</w:t>
      </w:r>
      <w:r>
        <w:t xml:space="preserve">, in German</w:t>
      </w:r>
      <w:r>
        <w:t xml:space="preserve"> </w:t>
      </w:r>
      <w:r>
        <w:rPr>
          <w:iCs/>
          <w:i/>
        </w:rPr>
        <w:t xml:space="preserve">solch</w:t>
      </w:r>
    </w:p>
    <w:p>
      <w:pPr>
        <w:numPr>
          <w:ilvl w:val="0"/>
          <w:numId w:val="1012"/>
        </w:numPr>
      </w:pPr>
      <w:r>
        <w:t xml:space="preserve">indefinite pronouns, e.g.,</w:t>
      </w:r>
      <w:r>
        <w:t xml:space="preserve"> </w:t>
      </w:r>
      <w:r>
        <w:rPr>
          <w:iCs/>
          <w:i/>
        </w:rPr>
        <w:t xml:space="preserve">somebody</w:t>
      </w:r>
      <w:r>
        <w:t xml:space="preserve">, or German</w:t>
      </w:r>
      <w:r>
        <w:t xml:space="preserve"> </w:t>
      </w:r>
      <w:r>
        <w:rPr>
          <w:iCs/>
          <w:i/>
        </w:rPr>
        <w:t xml:space="preserve">man</w:t>
      </w:r>
      <w:r>
        <w:t xml:space="preserve">. Also includes pronominal indefinite quantifiers, e.g.,</w:t>
      </w:r>
      <w:r>
        <w:t xml:space="preserve"> </w:t>
      </w:r>
      <w:r>
        <w:rPr>
          <w:iCs/>
          <w:i/>
        </w:rPr>
        <w:t xml:space="preserve">some</w:t>
      </w:r>
      <w:r>
        <w:t xml:space="preserve"> </w:t>
      </w:r>
      <w:r>
        <w:t xml:space="preserve">in</w:t>
      </w:r>
      <w:r>
        <w:t xml:space="preserve"> </w:t>
      </w:r>
      <w:r>
        <w:rPr>
          <w:iCs/>
          <w:i/>
        </w:rPr>
        <w:t xml:space="preserve">some of that</w:t>
      </w:r>
      <w:r>
        <w:t xml:space="preserve">.</w:t>
      </w:r>
    </w:p>
    <w:bookmarkEnd w:id="38"/>
    <w:bookmarkStart w:id="39" w:name="other-expressions"/>
    <w:p>
      <w:pPr>
        <w:pStyle w:val="Heading3"/>
      </w:pPr>
      <w:r>
        <w:t xml:space="preserve">1.5.3 Other expressions</w:t>
      </w:r>
    </w:p>
    <w:p>
      <w:pPr>
        <w:pStyle w:val="FirstParagraph"/>
      </w:pPr>
      <w:r>
        <w:t xml:space="preserve">We consider every syntactic argument of a verb to be a potentially referring expression. If not matched by any of the aforementioned conditions, we treat verbal arguments as secondary markables. This can happen if an argument is a foreign language expression that is not assigned proper POS tags, but instead just marked as foreign (e.g.,</w:t>
      </w:r>
      <w:r>
        <w:t xml:space="preserve"> </w:t>
      </w:r>
      <w:r>
        <w:rPr>
          <w:rStyle w:val="VerbatimChar"/>
        </w:rPr>
        <w:t xml:space="preserve">X</w:t>
      </w:r>
      <w:r>
        <w:t xml:space="preserve"> </w:t>
      </w:r>
      <w:r>
        <w:t xml:space="preserve">in Universal Dependencies). Note that the annotation of referentiality for</w:t>
      </w:r>
      <w:r>
        <w:t xml:space="preserve"> </w:t>
      </w:r>
      <w:r>
        <w:rPr>
          <w:rStyle w:val="VerbatimChar"/>
        </w:rPr>
        <w:t xml:space="preserve">other</w:t>
      </w:r>
      <w:r>
        <w:t xml:space="preserve"> </w:t>
      </w:r>
      <w:r>
        <w:t xml:space="preserve">nominals is tentative, only.</w:t>
      </w:r>
    </w:p>
    <w:bookmarkEnd w:id="39"/>
    <w:bookmarkStart w:id="40" w:name="do-not-annotate"/>
    <w:p>
      <w:pPr>
        <w:pStyle w:val="Heading3"/>
      </w:pPr>
      <w:r>
        <w:t xml:space="preserve">1.6 Do NOT annotate</w:t>
      </w:r>
    </w:p>
    <w:bookmarkEnd w:id="40"/>
    <w:bookmarkStart w:id="41" w:name="non-referring-and-bound-expressions"/>
    <w:p>
      <w:pPr>
        <w:pStyle w:val="Heading3"/>
      </w:pPr>
      <w:r>
        <w:t xml:space="preserve">1.6.1 Non-referring and bound expressions</w:t>
      </w:r>
    </w:p>
    <w:p>
      <w:pPr>
        <w:numPr>
          <w:ilvl w:val="0"/>
          <w:numId w:val="1013"/>
        </w:numPr>
      </w:pPr>
      <w:r>
        <w:t xml:space="preserve">expletive expressions</w:t>
      </w:r>
    </w:p>
    <w:p>
      <w:pPr>
        <w:numPr>
          <w:ilvl w:val="1"/>
          <w:numId w:val="1014"/>
        </w:numPr>
        <w:pStyle w:val="Compact"/>
      </w:pPr>
      <w:r>
        <w:rPr>
          <w:iCs/>
          <w:i/>
        </w:rPr>
        <w:t xml:space="preserve">Then, when it would have been easier to resist them, nothing was done</w:t>
      </w:r>
      <w:r>
        <w:t xml:space="preserve"> </w:t>
      </w:r>
      <w:r>
        <w:t xml:space="preserve">(expletive</w:t>
      </w:r>
      <w:r>
        <w:t xml:space="preserve"> </w:t>
      </w:r>
      <w:r>
        <w:rPr>
          <w:iCs/>
          <w:i/>
        </w:rPr>
        <w:t xml:space="preserve">it</w:t>
      </w:r>
      <w:r>
        <w:t xml:space="preserve">).</w:t>
      </w:r>
    </w:p>
    <w:p>
      <w:pPr>
        <w:numPr>
          <w:ilvl w:val="0"/>
          <w:numId w:val="1013"/>
        </w:numPr>
      </w:pPr>
      <w:r>
        <w:rPr>
          <w:iCs/>
          <w:i/>
        </w:rPr>
        <w:t xml:space="preserve">Es</w:t>
      </w:r>
      <w:r>
        <w:t xml:space="preserve">-pronouns, pronominal adverbs, which are controllers of relative clauses</w:t>
      </w:r>
    </w:p>
    <w:p>
      <w:pPr>
        <w:numPr>
          <w:ilvl w:val="1"/>
          <w:numId w:val="1015"/>
        </w:numPr>
        <w:pStyle w:val="Compact"/>
      </w:pPr>
      <w:r>
        <w:rPr>
          <w:iCs/>
          <w:i/>
        </w:rPr>
        <w:t xml:space="preserve">Dazu kommt, dass in Werder am 24. Februar ein Bu¨rgermeister gewa¨hlt wird und es bisher als sicher galt, dass CDU-Amtsinhaber Werner Gr¨oße unangefochten bleibt.</w:t>
      </w:r>
    </w:p>
    <w:p>
      <w:pPr>
        <w:numPr>
          <w:ilvl w:val="0"/>
          <w:numId w:val="1000"/>
        </w:numPr>
      </w:pPr>
      <w:r>
        <w:rPr>
          <w:iCs/>
          <w:i/>
        </w:rPr>
        <w:t xml:space="preserve">Dazu...dass, es...dass</w:t>
      </w:r>
      <w:r>
        <w:t xml:space="preserve"> </w:t>
      </w:r>
      <w:r>
        <w:t xml:space="preserve">should not be annotated as markables (</w:t>
      </w:r>
      <w:r>
        <w:rPr>
          <w:iCs/>
          <w:i/>
        </w:rPr>
        <w:t xml:space="preserve">Dazu</w:t>
      </w:r>
      <w:r>
        <w:t xml:space="preserve"> </w:t>
      </w:r>
      <w:r>
        <w:t xml:space="preserve">and</w:t>
      </w:r>
      <w:r>
        <w:t xml:space="preserve"> </w:t>
      </w:r>
      <w:r>
        <w:rPr>
          <w:iCs/>
          <w:i/>
        </w:rPr>
        <w:t xml:space="preserve">es</w:t>
      </w:r>
      <w:r>
        <w:t xml:space="preserve"> </w:t>
      </w:r>
      <w:r>
        <w:t xml:space="preserve">are controllers of relative clauses).</w:t>
      </w:r>
    </w:p>
    <w:p>
      <w:pPr>
        <w:numPr>
          <w:ilvl w:val="0"/>
          <w:numId w:val="1013"/>
        </w:numPr>
      </w:pPr>
      <w:r>
        <w:t xml:space="preserve">pronominal adverbs functioning as discourse markers</w:t>
      </w:r>
    </w:p>
    <w:p>
      <w:pPr>
        <w:numPr>
          <w:ilvl w:val="0"/>
          <w:numId w:val="1000"/>
        </w:numPr>
        <w:pStyle w:val="BlockText"/>
      </w:pPr>
      <w:r>
        <w:t xml:space="preserve">(23.a)</w:t>
      </w:r>
      <w:r>
        <w:t xml:space="preserve"> </w:t>
      </w:r>
      <w:r>
        <w:rPr>
          <w:iCs/>
          <w:i/>
        </w:rPr>
        <w:t xml:space="preserve">Ich habe dich angesprochen, damit du mir zuhörst</w:t>
      </w:r>
      <w:r>
        <w:t xml:space="preserve">.</w:t>
      </w:r>
      <w:r>
        <w:t xml:space="preserve"> </w:t>
      </w:r>
      <w:r>
        <w:t xml:space="preserve">“</w:t>
      </w:r>
      <w:r>
        <w:t xml:space="preserve">I am talking to you to let you know that you must listen to me.</w:t>
      </w:r>
      <w:r>
        <w:t xml:space="preserve">”</w:t>
      </w:r>
      <w:r>
        <w:t xml:space="preserve"> </w:t>
      </w:r>
      <w:r>
        <w:t xml:space="preserve">(23.b)</w:t>
      </w:r>
      <w:r>
        <w:t xml:space="preserve"> </w:t>
      </w:r>
      <w:r>
        <w:rPr>
          <w:iCs/>
          <w:i/>
        </w:rPr>
        <w:t xml:space="preserve">Ich habe dir das gesagt, damit du weißt, dass du mir zuh¨oren sollst</w:t>
      </w:r>
      <w:r>
        <w:t xml:space="preserve">.</w:t>
      </w:r>
      <w:r>
        <w:t xml:space="preserve"> </w:t>
      </w:r>
      <w:r>
        <w:t xml:space="preserve">(23.c)</w:t>
      </w:r>
      <w:r>
        <w:t xml:space="preserve"> </w:t>
      </w:r>
      <w:r>
        <w:rPr>
          <w:iCs/>
          <w:i/>
        </w:rPr>
        <w:t xml:space="preserve">Ich habe dir das gesagt, dass du weißt, dass du mir zuh¨oren sollst.</w:t>
      </w:r>
    </w:p>
    <w:p>
      <w:pPr>
        <w:numPr>
          <w:ilvl w:val="0"/>
          <w:numId w:val="1013"/>
        </w:numPr>
      </w:pPr>
      <w:r>
        <w:t xml:space="preserve">relative pronouns</w:t>
      </w:r>
    </w:p>
    <w:p>
      <w:pPr>
        <w:numPr>
          <w:ilvl w:val="0"/>
          <w:numId w:val="1000"/>
        </w:numPr>
      </w:pPr>
      <w:r>
        <w:t xml:space="preserve">Relative pronouns are annotated together with the whole relative clause it triggers as one single markable (cf. </w:t>
      </w:r>
      <w:r>
        <w:rPr>
          <w:iCs/>
          <w:i/>
        </w:rPr>
        <w:t xml:space="preserve">[The car that went through his garden wall]...</w:t>
      </w:r>
      <w:r>
        <w:t xml:space="preserve">). If a form cannot be unambiguously classified as a relative pronoun, apply the following test: it is a relative pronoun if it can be substituted by</w:t>
      </w:r>
      <w:r>
        <w:t xml:space="preserve"> </w:t>
      </w:r>
      <w:r>
        <w:t xml:space="preserve">“</w:t>
      </w:r>
      <w:r>
        <w:t xml:space="preserve">which</w:t>
      </w:r>
      <w:r>
        <w:t xml:space="preserve">”</w:t>
      </w:r>
      <w:r>
        <w:t xml:space="preserve"> </w:t>
      </w:r>
      <w:r>
        <w:t xml:space="preserve">respectively</w:t>
      </w:r>
      <w:r>
        <w:t xml:space="preserve"> </w:t>
      </w:r>
      <w:r>
        <w:t xml:space="preserve">“</w:t>
      </w:r>
      <w:r>
        <w:t xml:space="preserve">welch</w:t>
      </w:r>
      <w:r>
        <w:t xml:space="preserve">”</w:t>
      </w:r>
      <w:r>
        <w:t xml:space="preserve"> </w:t>
      </w:r>
      <w:r>
        <w:t xml:space="preserve">in German.</w:t>
      </w:r>
      <w:r>
        <w:t xml:space="preserve"> </w:t>
      </w:r>
      <w:r>
        <w:t xml:space="preserve">However, relative pronouns in possessive constructions (i.e. for which the test for relative pronouns fails) are annotated as possessive pronouns (see possessive NPs, p. 10).</w:t>
      </w:r>
    </w:p>
    <w:p>
      <w:pPr>
        <w:numPr>
          <w:ilvl w:val="1"/>
          <w:numId w:val="1016"/>
        </w:numPr>
        <w:pStyle w:val="Compact"/>
      </w:pPr>
      <w:r>
        <w:rPr>
          <w:iCs/>
          <w:i/>
        </w:rPr>
        <w:t xml:space="preserve">Und so schielen die Israelis nach Washington, an dessen /*welchem Tropf sie wirtschaftlich und militärisch hängen,...</w:t>
      </w:r>
      <w:r>
        <w:t xml:space="preserve"> </w:t>
      </w:r>
      <w:r>
        <w:t xml:space="preserve">(24’)</w:t>
      </w:r>
      <w:r>
        <w:t xml:space="preserve"> </w:t>
      </w:r>
      <w:r>
        <w:rPr>
          <w:iCs/>
          <w:i/>
        </w:rPr>
        <w:t xml:space="preserve">Und so schielen die Israelis nach Washington, das/welches sie wirtschaftlich und militärisch unterstützt</w:t>
      </w:r>
      <w:r>
        <w:t xml:space="preserve"> </w:t>
      </w:r>
      <w:r>
        <w:t xml:space="preserve">(</w:t>
      </w:r>
      <w:r>
        <w:rPr>
          <w:iCs/>
          <w:i/>
        </w:rPr>
        <w:t xml:space="preserve">das</w:t>
      </w:r>
      <w:r>
        <w:t xml:space="preserve"> </w:t>
      </w:r>
      <w:r>
        <w:t xml:space="preserve">is a relative pronoun).</w:t>
      </w:r>
    </w:p>
    <w:p>
      <w:pPr>
        <w:numPr>
          <w:ilvl w:val="0"/>
          <w:numId w:val="1000"/>
        </w:numPr>
      </w:pPr>
      <w:r>
        <w:t xml:space="preserve">Alternatively, the following test can be applied: substitute a pronoun in question with a possessive construction. If it works, you have a possessive pronoun, not a relative one.</w:t>
      </w:r>
    </w:p>
    <w:p>
      <w:pPr>
        <w:numPr>
          <w:ilvl w:val="1"/>
          <w:numId w:val="1017"/>
        </w:numPr>
        <w:pStyle w:val="Compact"/>
      </w:pPr>
      <w:r>
        <w:rPr>
          <w:iCs/>
          <w:i/>
        </w:rPr>
        <w:t xml:space="preserve">die Frau und deren Kinder = die Frau und ihre Kinder</w:t>
      </w:r>
    </w:p>
    <w:p>
      <w:pPr>
        <w:numPr>
          <w:ilvl w:val="0"/>
          <w:numId w:val="1000"/>
        </w:numPr>
      </w:pPr>
      <w:r>
        <w:t xml:space="preserve">The annotation is as follows in this case:</w:t>
      </w:r>
    </w:p>
    <w:p>
      <w:pPr>
        <w:numPr>
          <w:ilvl w:val="1"/>
          <w:numId w:val="1018"/>
        </w:numPr>
        <w:pStyle w:val="Compact"/>
      </w:pPr>
      <w:r>
        <w:rPr>
          <w:iCs/>
          <w:i/>
        </w:rPr>
        <w:t xml:space="preserve">Und so schielen [die Israelis]i [(nach Washington)w, [an [dessen]w Tropf] [sie]i wirtschaftlich und milit¨arisch h¨angen]</w:t>
      </w:r>
      <w:r>
        <w:rPr>
          <w:iCs/>
          <w:i/>
        </w:rPr>
        <w:t xml:space="preserve">w</w:t>
      </w:r>
      <w:r>
        <w:t xml:space="preserve">′</w:t>
      </w:r>
      <w:r>
        <w:t xml:space="preserve"> </w:t>
      </w:r>
      <w:r>
        <w:rPr>
          <w:iCs/>
          <w:i/>
        </w:rPr>
        <w:t xml:space="preserve">,...</w:t>
      </w:r>
    </w:p>
    <w:p>
      <w:pPr>
        <w:numPr>
          <w:ilvl w:val="0"/>
          <w:numId w:val="1013"/>
        </w:numPr>
      </w:pPr>
      <w:r>
        <w:t xml:space="preserve">prepositional phrases with prepositions</w:t>
      </w:r>
      <w:r>
        <w:t xml:space="preserve"> </w:t>
      </w:r>
      <w:r>
        <w:rPr>
          <w:iCs/>
          <w:i/>
        </w:rPr>
        <w:t xml:space="preserve">as, than</w:t>
      </w:r>
      <w:r>
        <w:t xml:space="preserve">,</w:t>
      </w:r>
      <w:r>
        <w:t xml:space="preserve"> </w:t>
      </w:r>
      <w:r>
        <w:rPr>
          <w:iCs/>
          <w:i/>
        </w:rPr>
        <w:t xml:space="preserve">bis, als, wie</w:t>
      </w:r>
      <w:r>
        <w:t xml:space="preserve"> </w:t>
      </w:r>
      <w:r>
        <w:t xml:space="preserve">(in German) Such prases are annotated as normal NPs, i.e. </w:t>
      </w:r>
      <w:r>
        <w:rPr>
          <w:iCs/>
          <w:i/>
        </w:rPr>
        <w:t xml:space="preserve">bis</w:t>
      </w:r>
      <w:r>
        <w:t xml:space="preserve"> </w:t>
      </w:r>
      <w:r>
        <w:t xml:space="preserve">and</w:t>
      </w:r>
      <w:r>
        <w:t xml:space="preserve"> </w:t>
      </w:r>
      <w:r>
        <w:rPr>
          <w:iCs/>
          <w:i/>
        </w:rPr>
        <w:t xml:space="preserve">als</w:t>
      </w:r>
      <w:r>
        <w:t xml:space="preserve"> </w:t>
      </w:r>
      <w:r>
        <w:t xml:space="preserve">are not included.</w:t>
      </w:r>
      <w:r>
        <w:t xml:space="preserve"> </w:t>
      </w:r>
      <w:r>
        <w:rPr>
          <w:vertAlign w:val="superscript"/>
        </w:rPr>
        <w:t xml:space="preserve">3</w:t>
      </w:r>
    </w:p>
    <w:p>
      <w:pPr>
        <w:numPr>
          <w:ilvl w:val="0"/>
          <w:numId w:val="1013"/>
        </w:numPr>
      </w:pPr>
      <w:r>
        <w:t xml:space="preserve">nominal premodifiers in compound nouns</w:t>
      </w:r>
    </w:p>
    <w:p>
      <w:pPr>
        <w:numPr>
          <w:ilvl w:val="1"/>
          <w:numId w:val="1019"/>
        </w:numPr>
        <w:pStyle w:val="Compact"/>
      </w:pPr>
      <w:r>
        <w:rPr>
          <w:iCs/>
          <w:i/>
        </w:rPr>
        <w:t xml:space="preserve">peanut butter, airline analyst, the creditors commettee, investment bank</w:t>
      </w:r>
    </w:p>
    <w:p>
      <w:pPr>
        <w:numPr>
          <w:ilvl w:val="0"/>
          <w:numId w:val="1000"/>
        </w:numPr>
      </w:pPr>
      <w:r>
        <w:rPr>
          <w:iCs/>
          <w:i/>
        </w:rPr>
        <w:t xml:space="preserve">Peanut, airline, cretitors</w:t>
      </w:r>
      <w:r>
        <w:t xml:space="preserve"> </w:t>
      </w:r>
      <w:r>
        <w:t xml:space="preserve">and</w:t>
      </w:r>
      <w:r>
        <w:t xml:space="preserve"> </w:t>
      </w:r>
      <w:r>
        <w:rPr>
          <w:iCs/>
          <w:i/>
        </w:rPr>
        <w:t xml:space="preserve">investment</w:t>
      </w:r>
      <w:r>
        <w:t xml:space="preserve"> </w:t>
      </w:r>
      <w:r>
        <w:t xml:space="preserve">are no separate markables. Note that in</w:t>
      </w:r>
      <w:r>
        <w:t xml:space="preserve"> </w:t>
      </w:r>
      <w:r>
        <w:rPr>
          <w:iCs/>
          <w:i/>
        </w:rPr>
        <w:t xml:space="preserve">the creditor’s opinion</w:t>
      </w:r>
      <w:r>
        <w:t xml:space="preserve">,</w:t>
      </w:r>
      <w:r>
        <w:t xml:space="preserve"> </w:t>
      </w:r>
      <w:r>
        <w:rPr>
          <w:iCs/>
          <w:i/>
        </w:rPr>
        <w:t xml:space="preserve">the creditor’s</w:t>
      </w:r>
      <w:r>
        <w:t xml:space="preserve"> </w:t>
      </w:r>
      <w:r>
        <w:t xml:space="preserve">is annotated as a markable, since it is a nominal in genitive and thus not a part of a compounds.</w:t>
      </w:r>
    </w:p>
    <w:bookmarkEnd w:id="41"/>
    <w:bookmarkStart w:id="42" w:name="idioms-and-collocations"/>
    <w:p>
      <w:pPr>
        <w:pStyle w:val="Heading3"/>
      </w:pPr>
      <w:r>
        <w:t xml:space="preserve">1.6.2 Idioms and Collocations</w:t>
      </w:r>
    </w:p>
    <w:p>
      <w:pPr>
        <w:pStyle w:val="FirstParagraph"/>
      </w:pPr>
      <w:r>
        <w:t xml:space="preserve">Primary markables in idioms and collocations, if identifiable in automated pre-annotation.</w:t>
      </w:r>
    </w:p>
    <w:p>
      <w:pPr>
        <w:numPr>
          <w:ilvl w:val="0"/>
          <w:numId w:val="1020"/>
        </w:numPr>
        <w:pStyle w:val="Compact"/>
      </w:pPr>
      <w:r>
        <w:rPr>
          <w:iCs/>
          <w:i/>
        </w:rPr>
        <w:t xml:space="preserve">It sent Kate into the pits when she learned from her</w:t>
      </w:r>
      <w:r>
        <w:rPr>
          <w:iCs/>
          <w:i/>
        </w:rPr>
        <w:t xml:space="preserve"> </w:t>
      </w:r>
      <w:r>
        <w:rPr>
          <w:iCs/>
          <w:i/>
        </w:rPr>
        <w:t xml:space="preserve">“</w:t>
      </w:r>
      <w:r>
        <w:rPr>
          <w:iCs/>
          <w:i/>
        </w:rPr>
        <w:t xml:space="preserve">friend</w:t>
      </w:r>
      <w:r>
        <w:rPr>
          <w:iCs/>
          <w:i/>
        </w:rPr>
        <w:t xml:space="preserve">”</w:t>
      </w:r>
      <w:r>
        <w:rPr>
          <w:iCs/>
          <w:i/>
        </w:rPr>
        <w:t xml:space="preserve"> </w:t>
      </w:r>
      <w:r>
        <w:rPr>
          <w:iCs/>
          <w:i/>
        </w:rPr>
        <w:t xml:space="preserve">Martha, who seemed to get off on laying bad trips on people, that Harvey was getting it on with Carol.</w:t>
      </w:r>
      <w:r>
        <w:t xml:space="preserve"> </w:t>
      </w:r>
      <w:r>
        <w:t xml:space="preserve">[Gib94, p.265]</w:t>
      </w:r>
    </w:p>
    <w:p>
      <w:pPr>
        <w:pStyle w:val="FirstParagraph"/>
      </w:pPr>
      <w:r>
        <w:t xml:space="preserve">According to Gibbs, we find several idiomatic phrases in this example, some of which contain pronouns or full NPs – potential primary markables.</w:t>
      </w:r>
    </w:p>
    <w:p>
      <w:pPr>
        <w:pStyle w:val="BodyText"/>
      </w:pPr>
      <w:r>
        <w:t xml:space="preserve">However, they should not be annotated as such, e.g. </w:t>
      </w:r>
      <w:r>
        <w:rPr>
          <w:iCs/>
          <w:i/>
        </w:rPr>
        <w:t xml:space="preserve">into the pits</w:t>
      </w:r>
      <w:r>
        <w:t xml:space="preserve"> </w:t>
      </w:r>
      <w:r>
        <w:t xml:space="preserve">meaning</w:t>
      </w:r>
      <w:r>
        <w:t xml:space="preserve"> </w:t>
      </w:r>
      <w:r>
        <w:t xml:space="preserve">“</w:t>
      </w:r>
      <w:r>
        <w:t xml:space="preserve">to be depressed</w:t>
      </w:r>
      <w:r>
        <w:t xml:space="preserve">”</w:t>
      </w:r>
      <w:r>
        <w:t xml:space="preserve">,</w:t>
      </w:r>
      <w:r>
        <w:t xml:space="preserve"> </w:t>
      </w:r>
      <w:r>
        <w:rPr>
          <w:iCs/>
          <w:i/>
        </w:rPr>
        <w:t xml:space="preserve">get it on</w:t>
      </w:r>
      <w:r>
        <w:t xml:space="preserve"> </w:t>
      </w:r>
      <w:r>
        <w:t xml:space="preserve">meaning</w:t>
      </w:r>
      <w:r>
        <w:t xml:space="preserve"> </w:t>
      </w:r>
      <w:r>
        <w:t xml:space="preserve">“</w:t>
      </w:r>
      <w:r>
        <w:t xml:space="preserve">having sexual relations</w:t>
      </w:r>
      <w:r>
        <w:t xml:space="preserve">”</w:t>
      </w:r>
      <w:r>
        <w:t xml:space="preserve">, neither</w:t>
      </w:r>
      <w:r>
        <w:t xml:space="preserve"> </w:t>
      </w:r>
      <w:r>
        <w:rPr>
          <w:iCs/>
          <w:i/>
        </w:rPr>
        <w:t xml:space="preserve">the pits</w:t>
      </w:r>
      <w:r>
        <w:t xml:space="preserve"> </w:t>
      </w:r>
      <w:r>
        <w:t xml:space="preserve">nor</w:t>
      </w:r>
      <w:r>
        <w:t xml:space="preserve"> </w:t>
      </w:r>
      <w:r>
        <w:rPr>
          <w:iCs/>
          <w:i/>
        </w:rPr>
        <w:t xml:space="preserve">it</w:t>
      </w:r>
      <w:r>
        <w:t xml:space="preserve"> </w:t>
      </w:r>
      <w:r>
        <w:t xml:space="preserve">can be referred to.</w:t>
      </w:r>
    </w:p>
    <w:p>
      <w:pPr>
        <w:pStyle w:val="BodyText"/>
      </w:pPr>
      <w:r>
        <w:t xml:space="preserve">Note that we consider only</w:t>
      </w:r>
      <w:r>
        <w:t xml:space="preserve"> </w:t>
      </w:r>
      <w:r>
        <w:rPr>
          <w:iCs/>
          <w:i/>
        </w:rPr>
        <w:t xml:space="preserve">conventionalized</w:t>
      </w:r>
      <w:r>
        <w:t xml:space="preserve"> </w:t>
      </w:r>
      <w:r>
        <w:t xml:space="preserve">idiomatic expressions as idioms in our sense, i.e. markables within productive metaphors are annotated as usual, e.g. </w:t>
      </w:r>
      <w:r>
        <w:rPr>
          <w:iCs/>
          <w:i/>
        </w:rPr>
        <w:t xml:space="preserve">das schlingernde City-Schiff City-Schiff</w:t>
      </w:r>
      <w:r>
        <w:t xml:space="preserve"> </w:t>
      </w:r>
      <w:r>
        <w:t xml:space="preserve">- a metaphor that occurred and can only be understood with respect to a specific text.</w:t>
      </w:r>
    </w:p>
    <w:bookmarkEnd w:id="42"/>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33">
    <w:nsid w:val="A9943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34">
    <w:nsid w:val="A9943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35">
    <w:nsid w:val="A9943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38">
    <w:nsid w:val="A9943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39">
    <w:nsid w:val="A9943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312">
    <w:nsid w:val="A9943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321">
    <w:nsid w:val="A9943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322">
    <w:nsid w:val="A9943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abstractNum w:abstractNumId="994324">
    <w:nsid w:val="A9943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abstractNum w:abstractNumId="994325">
    <w:nsid w:val="A994325"/>
    <w:multiLevelType w:val="multilevel"/>
    <w:lvl w:ilvl="0">
      <w:start w:val="25"/>
      <w:numFmt w:val="decimal"/>
      <w:lvlText w:val="(%1)"/>
      <w:lvlJc w:val="left"/>
      <w:pPr>
        <w:ind w:left="720" w:hanging="480"/>
      </w:pPr>
    </w:lvl>
    <w:lvl w:ilvl="1">
      <w:start w:val="25"/>
      <w:numFmt w:val="decimal"/>
      <w:lvlText w:val="(%2)"/>
      <w:lvlJc w:val="left"/>
      <w:pPr>
        <w:ind w:left="1440" w:hanging="480"/>
      </w:pPr>
    </w:lvl>
    <w:lvl w:ilvl="2">
      <w:start w:val="25"/>
      <w:numFmt w:val="decimal"/>
      <w:lvlText w:val="(%3)"/>
      <w:lvlJc w:val="left"/>
      <w:pPr>
        <w:ind w:left="2160" w:hanging="480"/>
      </w:pPr>
    </w:lvl>
    <w:lvl w:ilvl="3">
      <w:start w:val="25"/>
      <w:numFmt w:val="decimal"/>
      <w:lvlText w:val="(%4)"/>
      <w:lvlJc w:val="left"/>
      <w:pPr>
        <w:ind w:left="2880" w:hanging="480"/>
      </w:pPr>
    </w:lvl>
    <w:lvl w:ilvl="4">
      <w:start w:val="25"/>
      <w:numFmt w:val="decimal"/>
      <w:lvlText w:val="(%5)"/>
      <w:lvlJc w:val="left"/>
      <w:pPr>
        <w:ind w:left="3600" w:hanging="480"/>
      </w:pPr>
    </w:lvl>
    <w:lvl w:ilvl="5">
      <w:start w:val="25"/>
      <w:numFmt w:val="decimal"/>
      <w:lvlText w:val="(%6)"/>
      <w:lvlJc w:val="left"/>
      <w:pPr>
        <w:ind w:left="4320" w:hanging="480"/>
      </w:pPr>
    </w:lvl>
    <w:lvl w:ilvl="6">
      <w:start w:val="25"/>
      <w:numFmt w:val="decimal"/>
      <w:lvlText w:val="(%7)"/>
      <w:lvlJc w:val="left"/>
      <w:pPr>
        <w:ind w:left="5040" w:hanging="480"/>
      </w:pPr>
    </w:lvl>
    <w:lvl w:ilvl="7">
      <w:start w:val="25"/>
      <w:numFmt w:val="decimal"/>
      <w:lvlText w:val="(%8)"/>
      <w:lvlJc w:val="left"/>
      <w:pPr>
        <w:ind w:left="5760" w:hanging="480"/>
      </w:pPr>
    </w:lvl>
    <w:lvl w:ilvl="8">
      <w:start w:val="25"/>
      <w:numFmt w:val="decimal"/>
      <w:lvlText w:val="(%9)"/>
      <w:lvlJc w:val="left"/>
      <w:pPr>
        <w:ind w:left="6480" w:hanging="480"/>
      </w:pPr>
    </w:lvl>
  </w:abstractNum>
  <w:abstractNum w:abstractNumId="994326">
    <w:nsid w:val="A994326"/>
    <w:multiLevelType w:val="multilevel"/>
    <w:lvl w:ilvl="0">
      <w:start w:val="26"/>
      <w:numFmt w:val="decimal"/>
      <w:lvlText w:val="(%1)"/>
      <w:lvlJc w:val="left"/>
      <w:pPr>
        <w:ind w:left="720" w:hanging="480"/>
      </w:pPr>
    </w:lvl>
    <w:lvl w:ilvl="1">
      <w:start w:val="26"/>
      <w:numFmt w:val="decimal"/>
      <w:lvlText w:val="(%2)"/>
      <w:lvlJc w:val="left"/>
      <w:pPr>
        <w:ind w:left="1440" w:hanging="480"/>
      </w:pPr>
    </w:lvl>
    <w:lvl w:ilvl="2">
      <w:start w:val="26"/>
      <w:numFmt w:val="decimal"/>
      <w:lvlText w:val="(%3)"/>
      <w:lvlJc w:val="left"/>
      <w:pPr>
        <w:ind w:left="2160" w:hanging="480"/>
      </w:pPr>
    </w:lvl>
    <w:lvl w:ilvl="3">
      <w:start w:val="26"/>
      <w:numFmt w:val="decimal"/>
      <w:lvlText w:val="(%4)"/>
      <w:lvlJc w:val="left"/>
      <w:pPr>
        <w:ind w:left="2880" w:hanging="480"/>
      </w:pPr>
    </w:lvl>
    <w:lvl w:ilvl="4">
      <w:start w:val="26"/>
      <w:numFmt w:val="decimal"/>
      <w:lvlText w:val="(%5)"/>
      <w:lvlJc w:val="left"/>
      <w:pPr>
        <w:ind w:left="3600" w:hanging="480"/>
      </w:pPr>
    </w:lvl>
    <w:lvl w:ilvl="5">
      <w:start w:val="26"/>
      <w:numFmt w:val="decimal"/>
      <w:lvlText w:val="(%6)"/>
      <w:lvlJc w:val="left"/>
      <w:pPr>
        <w:ind w:left="4320" w:hanging="480"/>
      </w:pPr>
    </w:lvl>
    <w:lvl w:ilvl="6">
      <w:start w:val="26"/>
      <w:numFmt w:val="decimal"/>
      <w:lvlText w:val="(%7)"/>
      <w:lvlJc w:val="left"/>
      <w:pPr>
        <w:ind w:left="5040" w:hanging="480"/>
      </w:pPr>
    </w:lvl>
    <w:lvl w:ilvl="7">
      <w:start w:val="26"/>
      <w:numFmt w:val="decimal"/>
      <w:lvlText w:val="(%8)"/>
      <w:lvlJc w:val="left"/>
      <w:pPr>
        <w:ind w:left="5760" w:hanging="480"/>
      </w:pPr>
    </w:lvl>
    <w:lvl w:ilvl="8">
      <w:start w:val="26"/>
      <w:numFmt w:val="decimal"/>
      <w:lvlText w:val="(%9)"/>
      <w:lvlJc w:val="left"/>
      <w:pPr>
        <w:ind w:left="6480" w:hanging="480"/>
      </w:pPr>
    </w:lvl>
  </w:abstractNum>
  <w:abstractNum w:abstractNumId="994327">
    <w:nsid w:val="A9943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abstractNum w:abstractNumId="994328">
    <w:nsid w:val="A994328"/>
    <w:multiLevelType w:val="multilevel"/>
    <w:lvl w:ilvl="0">
      <w:start w:val="28"/>
      <w:numFmt w:val="decimal"/>
      <w:lvlText w:val="(%1)"/>
      <w:lvlJc w:val="left"/>
      <w:pPr>
        <w:ind w:left="720" w:hanging="480"/>
      </w:pPr>
    </w:lvl>
    <w:lvl w:ilvl="1">
      <w:start w:val="28"/>
      <w:numFmt w:val="decimal"/>
      <w:lvlText w:val="(%2)"/>
      <w:lvlJc w:val="left"/>
      <w:pPr>
        <w:ind w:left="1440" w:hanging="480"/>
      </w:pPr>
    </w:lvl>
    <w:lvl w:ilvl="2">
      <w:start w:val="28"/>
      <w:numFmt w:val="decimal"/>
      <w:lvlText w:val="(%3)"/>
      <w:lvlJc w:val="left"/>
      <w:pPr>
        <w:ind w:left="2160" w:hanging="480"/>
      </w:pPr>
    </w:lvl>
    <w:lvl w:ilvl="3">
      <w:start w:val="28"/>
      <w:numFmt w:val="decimal"/>
      <w:lvlText w:val="(%4)"/>
      <w:lvlJc w:val="left"/>
      <w:pPr>
        <w:ind w:left="2880" w:hanging="480"/>
      </w:pPr>
    </w:lvl>
    <w:lvl w:ilvl="4">
      <w:start w:val="28"/>
      <w:numFmt w:val="decimal"/>
      <w:lvlText w:val="(%5)"/>
      <w:lvlJc w:val="left"/>
      <w:pPr>
        <w:ind w:left="3600" w:hanging="480"/>
      </w:pPr>
    </w:lvl>
    <w:lvl w:ilvl="5">
      <w:start w:val="28"/>
      <w:numFmt w:val="decimal"/>
      <w:lvlText w:val="(%6)"/>
      <w:lvlJc w:val="left"/>
      <w:pPr>
        <w:ind w:left="4320" w:hanging="480"/>
      </w:pPr>
    </w:lvl>
    <w:lvl w:ilvl="6">
      <w:start w:val="28"/>
      <w:numFmt w:val="decimal"/>
      <w:lvlText w:val="(%7)"/>
      <w:lvlJc w:val="left"/>
      <w:pPr>
        <w:ind w:left="5040" w:hanging="480"/>
      </w:pPr>
    </w:lvl>
    <w:lvl w:ilvl="7">
      <w:start w:val="28"/>
      <w:numFmt w:val="decimal"/>
      <w:lvlText w:val="(%8)"/>
      <w:lvlJc w:val="left"/>
      <w:pPr>
        <w:ind w:left="5760" w:hanging="480"/>
      </w:pPr>
    </w:lvl>
    <w:lvl w:ilvl="8">
      <w:start w:val="28"/>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1"/>
  </w:num>
  <w:num w:numId="1006">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1"/>
  </w:num>
  <w:num w:numId="1008">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9">
    <w:abstractNumId w:val="994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0">
    <w:abstractNumId w:val="9943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1">
    <w:abstractNumId w:val="9943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2">
    <w:abstractNumId w:val="991"/>
  </w:num>
  <w:num w:numId="1013">
    <w:abstractNumId w:val="991"/>
  </w:num>
  <w:num w:numId="1014">
    <w:abstractNumId w:val="9943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15">
    <w:abstractNumId w:val="9943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16">
    <w:abstractNumId w:val="9943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17">
    <w:abstractNumId w:val="9943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18">
    <w:abstractNumId w:val="9943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19">
    <w:abstractNumId w:val="9943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20">
    <w:abstractNumId w:val="9943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3" Target="lit.md#refexp3" TargetMode="External" /></Relationships>
</file>

<file path=word/_rels/footnotes.xml.rels><?xml version="1.0" encoding="UTF-8"?><Relationships xmlns="http://schemas.openxmlformats.org/package/2006/relationships"><Relationship Type="http://schemas.openxmlformats.org/officeDocument/2006/relationships/hyperlink" Id="rId23" Target="lit.md#refexp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2023-10-31T10:22:16Z</dcterms:created>
  <dcterms:modified xsi:type="dcterms:W3CDTF">2023-10-31T10:22:16Z</dcterms:modified>
</cp:coreProperties>
</file>

<file path=docProps/custom.xml><?xml version="1.0" encoding="utf-8"?>
<Properties xmlns="http://schemas.openxmlformats.org/officeDocument/2006/custom-properties" xmlns:vt="http://schemas.openxmlformats.org/officeDocument/2006/docPropsVTypes"/>
</file>