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txqd27bhepoa" w:id="0"/>
      <w:bookmarkEnd w:id="0"/>
      <w:r w:rsidDel="00000000" w:rsidR="00000000" w:rsidRPr="00000000">
        <w:rPr>
          <w:rtl w:val="0"/>
        </w:rPr>
        <w:t xml:space="preserve">Sumerian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Polysynthetic, agglutinative, defective orthography, case stacking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Note that the paradigms below are an excerpt only. We omit non-finite verbs.</w:t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rylif0wssjdk" w:id="1"/>
      <w:bookmarkEnd w:id="1"/>
      <w:r w:rsidDel="00000000" w:rsidR="00000000" w:rsidRPr="00000000">
        <w:rPr>
          <w:rtl w:val="0"/>
        </w:rPr>
        <w:t xml:space="preserve">Verbal system: Finite Verb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traditionally described in terms of a “slot grammar” where every position is associated with a certain position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Examples taken from Gábor Zólyomi (2016), An introduction to the grammar of Sumerian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7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30"/>
        <w:gridCol w:w="7640"/>
        <w:tblGridChange w:id="0">
          <w:tblGrid>
            <w:gridCol w:w="1130"/>
            <w:gridCol w:w="7640"/>
          </w:tblGrid>
        </w:tblGridChange>
      </w:tblGrid>
      <w:tr>
        <w:trPr>
          <w:cantSplit w:val="0"/>
          <w:trHeight w:val="965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</w:t>
            </w:r>
          </w:p>
        </w:tc>
        <w:tc>
          <w:tcPr>
            <w:tcBorders>
              <w:top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240" w:line="270.5454545454545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ODAL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(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ḫa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), negative particle, prefix of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ANTERIORITY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STEM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(in imperative</w:t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259.636363636363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forms)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2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INITE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MARKER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prefix,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MODAL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prefixes (all the other)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3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OORDINATOR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4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V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ENTIVE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(cislocative) prefix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5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240"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IDDLE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or the 3.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SG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NH PRONOMINAL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/b/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(specifying the person,</w:t>
            </w:r>
          </w:p>
          <w:p w:rsidR="00000000" w:rsidDel="00000000" w:rsidP="00000000" w:rsidRDefault="00000000" w:rsidRPr="00000000" w14:paraId="00000015">
            <w:pPr>
              <w:pageBreakBefore w:val="0"/>
              <w:spacing w:before="20" w:line="259.6363636363636" w:lineRule="auto"/>
              <w:ind w:left="5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gender and number of the first in the sequence of adverbial prefixes)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6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after="240"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NITIAL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RONOMINAL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(= IPP) (specifying the person, gender and number</w:t>
            </w:r>
          </w:p>
          <w:p w:rsidR="00000000" w:rsidDel="00000000" w:rsidP="00000000" w:rsidRDefault="00000000" w:rsidRPr="00000000" w14:paraId="00000018">
            <w:pPr>
              <w:pageBreakBefore w:val="0"/>
              <w:spacing w:before="20" w:line="259.6363636363636" w:lineRule="auto"/>
              <w:ind w:left="5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of the first in the sequence of adverbial prefixes)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line="259.636363636363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7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line="259.636363636363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DATIVE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8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II: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COMITATIVE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9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III: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ABLATIVE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or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TERMINATIVE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10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IV: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1,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2, or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3 prefix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11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240"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INAL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RONOMINAL PREFIX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(= FPP) (referring to A or P, depending on the tense,</w:t>
            </w:r>
          </w:p>
          <w:p w:rsidR="00000000" w:rsidDel="00000000" w:rsidP="00000000" w:rsidRDefault="00000000" w:rsidRPr="00000000" w14:paraId="00000023">
            <w:pPr>
              <w:pageBreakBefore w:val="0"/>
              <w:spacing w:before="20" w:line="259.6363636363636" w:lineRule="auto"/>
              <w:ind w:left="5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or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3)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12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before="40" w:lineRule="auto"/>
              <w:ind w:left="22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STEM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13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PRESENT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FUTURE MARKER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in intr</w:t>
            </w:r>
            <w:r w:rsidDel="00000000" w:rsidR="00000000" w:rsidRPr="00000000">
              <w:rPr>
                <w:i w:val="1"/>
                <w:smallCaps w:val="1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nsitive verbs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14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PRONOMINAL SUFFIX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(referring A, S, or P depending on the tense)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15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before="40" w:lineRule="auto"/>
              <w:ind w:left="22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SUBORDINATOR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Suggestion: model the following tables (from the documentation of the ETSCRI corpus, implements Zolyomi’s grammar,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http://oracc.museum.upenn.edu/etcsri/parsing/index.html</w:t>
        </w:r>
      </w:hyperlink>
      <w:r w:rsidDel="00000000" w:rsidR="00000000" w:rsidRPr="00000000">
        <w:rPr>
          <w:rtl w:val="0"/>
        </w:rPr>
        <w:t xml:space="preserve">; also cf.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https://cdli.ucla.edu/pubs/cdlp/cdlp0002_20160104.pdf</w:t>
        </w:r>
      </w:hyperlink>
      <w:r w:rsidDel="00000000" w:rsidR="00000000" w:rsidRPr="00000000">
        <w:rPr>
          <w:rtl w:val="0"/>
        </w:rPr>
        <w:t xml:space="preserve">, p. 155)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Morphemes (p-tag: slot, M2: gloss):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1435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Note: Slot 15 can be a morpheme that makes this a nominal (~ relative clause). The result can then be inflected according to the nominal template</w:t>
      </w:r>
    </w:p>
    <w:p w:rsidR="00000000" w:rsidDel="00000000" w:rsidP="00000000" w:rsidRDefault="00000000" w:rsidRPr="00000000" w14:paraId="0000003A">
      <w:pPr>
        <w:pStyle w:val="Heading1"/>
        <w:pageBreakBefore w:val="0"/>
        <w:rPr/>
      </w:pPr>
      <w:bookmarkStart w:colFirst="0" w:colLast="0" w:name="_5wn2vkvuxqey" w:id="2"/>
      <w:bookmarkEnd w:id="2"/>
      <w:r w:rsidDel="00000000" w:rsidR="00000000" w:rsidRPr="00000000">
        <w:rPr>
          <w:rtl w:val="0"/>
        </w:rPr>
        <w:t xml:space="preserve">Nominal system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20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40"/>
        <w:gridCol w:w="1640"/>
        <w:gridCol w:w="1640"/>
        <w:gridCol w:w="1640"/>
        <w:gridCol w:w="1640"/>
        <w:tblGridChange w:id="0">
          <w:tblGrid>
            <w:gridCol w:w="1640"/>
            <w:gridCol w:w="1640"/>
            <w:gridCol w:w="1640"/>
            <w:gridCol w:w="1640"/>
            <w:gridCol w:w="16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258.5454545454545" w:lineRule="auto"/>
              <w:ind w:left="940" w:right="10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line="258.5454545454545" w:lineRule="auto"/>
              <w:ind w:left="940" w:right="10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before="40" w:lineRule="auto"/>
              <w:ind w:left="880" w:right="2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HEAD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before="40" w:lineRule="auto"/>
              <w:ind w:left="940" w:right="10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MODIFIER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before="40" w:lineRule="auto"/>
              <w:ind w:left="880" w:right="2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POSSESSOR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PLURAL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MARKER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258.5454545454545" w:lineRule="auto"/>
              <w:ind w:left="940" w:right="10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CASE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MARKER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spacing w:after="240" w:before="240" w:lineRule="auto"/>
        <w:ind w:left="2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Table 3.1: The Sumerian nominal template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3213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Suggestion: model (the morphemes of) the following examples and their combinatorics.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(11) Gudea Statue B 7:24 (Lagash, 21st c.) (P232275)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dnin-ŋir₂-su-ra </w:t>
      </w:r>
    </w:p>
    <w:p w:rsidR="00000000" w:rsidDel="00000000" w:rsidP="00000000" w:rsidRDefault="00000000" w:rsidRPr="00000000" w14:paraId="0000004E">
      <w:pPr>
        <w:pageBreakBefore w:val="0"/>
        <w:tabs>
          <w:tab w:val="left" w:pos="1530"/>
        </w:tabs>
        <w:rPr/>
      </w:pPr>
      <w:r w:rsidDel="00000000" w:rsidR="00000000" w:rsidRPr="00000000">
        <w:rPr>
          <w:rtl w:val="0"/>
        </w:rPr>
        <w:t xml:space="preserve">P1</w:t>
        <w:tab/>
        <w:t xml:space="preserve">P5</w:t>
        <w:tab/>
      </w:r>
    </w:p>
    <w:p w:rsidR="00000000" w:rsidDel="00000000" w:rsidP="00000000" w:rsidRDefault="00000000" w:rsidRPr="00000000" w14:paraId="0000004F">
      <w:pPr>
        <w:pageBreakBefore w:val="0"/>
        <w:tabs>
          <w:tab w:val="left" w:pos="1530"/>
        </w:tabs>
        <w:rPr/>
      </w:pPr>
      <w:r w:rsidDel="00000000" w:rsidR="00000000" w:rsidRPr="00000000">
        <w:rPr>
          <w:rtl w:val="0"/>
        </w:rPr>
        <w:t xml:space="preserve">ninŋirsuk=</w:t>
        <w:tab/>
        <w:t xml:space="preserve">ra </w:t>
      </w:r>
    </w:p>
    <w:p w:rsidR="00000000" w:rsidDel="00000000" w:rsidP="00000000" w:rsidRDefault="00000000" w:rsidRPr="00000000" w14:paraId="00000050">
      <w:pPr>
        <w:pageBreakBefore w:val="0"/>
        <w:tabs>
          <w:tab w:val="left" w:pos="1530"/>
        </w:tabs>
        <w:rPr/>
      </w:pPr>
      <w:r w:rsidDel="00000000" w:rsidR="00000000" w:rsidRPr="00000000">
        <w:rPr>
          <w:rtl w:val="0"/>
        </w:rPr>
        <w:t xml:space="preserve">DN=</w:t>
        <w:tab/>
        <w:t xml:space="preserve">DAT.H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“for (the god) Ningirsu”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(slots 3-4 empty here)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But Sumerian inflection is recursive: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right="900" w:firstLine="0"/>
        <w:jc w:val="both"/>
        <w:rPr/>
      </w:pPr>
      <w:r w:rsidDel="00000000" w:rsidR="00000000" w:rsidRPr="00000000">
        <w:rPr>
          <w:rtl w:val="0"/>
        </w:rPr>
        <w:t xml:space="preserve">In ex. (12), however, it follows the genitive case-marker of the noun phrase in P3.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(12) Ur-Bau 1 3 (RIME 3/1.6.1) (Lagash, 22nd c.) (P231808)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Dumu</w:t>
        <w:tab/>
        <w:t xml:space="preserve">an-na-ra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P1</w:t>
        <w:tab/>
        <w:t xml:space="preserve">P3</w:t>
        <w:tab/>
        <w:t xml:space="preserve">[</w:t>
        <w:tab/>
        <w:t xml:space="preserve">P1</w:t>
        <w:tab/>
        <w:t xml:space="preserve">P5</w:t>
        <w:tab/>
        <w:t xml:space="preserve">]</w:t>
        <w:tab/>
        <w:t xml:space="preserve">P5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dumu   </w:t>
        <w:tab/>
        <w:tab/>
        <w:t xml:space="preserve">an=</w:t>
        <w:tab/>
        <w:t xml:space="preserve">ak=</w:t>
        <w:tab/>
        <w:tab/>
        <w:t xml:space="preserve">ra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child    </w:t>
        <w:tab/>
        <w:tab/>
        <w:t xml:space="preserve">DN=</w:t>
        <w:tab/>
        <w:t xml:space="preserve">GEN=</w:t>
        <w:tab/>
        <w:tab/>
        <w:t xml:space="preserve">DAT.H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“for the child of (the god) An”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P3 of </w:t>
      </w:r>
      <w:r w:rsidDel="00000000" w:rsidR="00000000" w:rsidRPr="00000000">
        <w:rPr>
          <w:i w:val="1"/>
          <w:rtl w:val="0"/>
        </w:rPr>
        <w:t xml:space="preserve">dumu</w:t>
      </w:r>
      <w:r w:rsidDel="00000000" w:rsidR="00000000" w:rsidRPr="00000000">
        <w:rPr>
          <w:rtl w:val="0"/>
        </w:rPr>
        <w:t xml:space="preserve"> contains another independent word [could also be empty, a possessive suffix, a word or phrase like here, or full nominalized sentences]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After that word, its inflection is added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Normally, we don’t have the phrase structure, but we analyze morphemes for every word individually: Then, we have the word</w:t>
        <w:tab/>
      </w:r>
      <w:r w:rsidDel="00000000" w:rsidR="00000000" w:rsidRPr="00000000">
        <w:rPr>
          <w:i w:val="1"/>
          <w:rtl w:val="0"/>
        </w:rPr>
        <w:t xml:space="preserve">an-na-ra</w:t>
      </w:r>
      <w:r w:rsidDel="00000000" w:rsidR="00000000" w:rsidRPr="00000000">
        <w:rPr>
          <w:rtl w:val="0"/>
        </w:rPr>
        <w:tab/>
        <w:t xml:space="preserve">with two case markers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This doesn’t stop with two case markers, and it is not limited to elements of slot 5: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(14) Iri-kagina 1 3:18 (RIME 1.9.9.1) (Lagash, 24th c.) (P222607)</w:t>
      </w:r>
    </w:p>
    <w:p w:rsidR="00000000" w:rsidDel="00000000" w:rsidP="00000000" w:rsidRDefault="00000000" w:rsidRPr="00000000" w14:paraId="00000067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Sipad</w:t>
        <w:tab/>
        <w:t xml:space="preserve">udu</w:t>
        <w:tab/>
        <w:t xml:space="preserve">siki-ka-ke₄-ne</w:t>
      </w:r>
    </w:p>
    <w:p w:rsidR="00000000" w:rsidDel="00000000" w:rsidP="00000000" w:rsidRDefault="00000000" w:rsidRPr="00000000" w14:paraId="0000006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Sipad</w:t>
        <w:tab/>
        <w:t xml:space="preserve">[</w:t>
        <w:tab/>
        <w:t xml:space="preserve">udu</w:t>
        <w:tab/>
        <w:t xml:space="preserve">[</w:t>
        <w:tab/>
        <w:t xml:space="preserve">siki</w:t>
        <w:tab/>
        <w:t xml:space="preserve">=ak</w:t>
        <w:tab/>
        <w:t xml:space="preserve">]=ak</w:t>
        <w:tab/>
        <w:t xml:space="preserve">]=enē=e </w:t>
      </w:r>
    </w:p>
    <w:p w:rsidR="00000000" w:rsidDel="00000000" w:rsidP="00000000" w:rsidRDefault="00000000" w:rsidRPr="00000000" w14:paraId="0000006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Shepherd</w:t>
        <w:tab/>
        <w:t xml:space="preserve">sheep</w:t>
        <w:tab/>
        <w:tab/>
        <w:t xml:space="preserve">wool</w:t>
        <w:tab/>
        <w:t xml:space="preserve">=GEN</w:t>
        <w:tab/>
        <w:t xml:space="preserve">=GEN</w:t>
        <w:tab/>
        <w:t xml:space="preserve">=PL=ERG</w:t>
      </w:r>
    </w:p>
    <w:p w:rsidR="00000000" w:rsidDel="00000000" w:rsidP="00000000" w:rsidRDefault="00000000" w:rsidRPr="00000000" w14:paraId="0000006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“the shepherds of sheep of wool (= wool-bearing sheep)”</w:t>
      </w:r>
    </w:p>
    <w:p w:rsidR="00000000" w:rsidDel="00000000" w:rsidP="00000000" w:rsidRDefault="00000000" w:rsidRPr="00000000" w14:paraId="0000006B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Note the plural marker among the inflections</w:t>
      </w:r>
    </w:p>
    <w:p w:rsidR="00000000" w:rsidDel="00000000" w:rsidP="00000000" w:rsidRDefault="00000000" w:rsidRPr="00000000" w14:paraId="0000006D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Note that it is not required that the syntactic head of a nominal dependent is realized as another word. It can be left implicit:</w:t>
      </w:r>
    </w:p>
    <w:p w:rsidR="00000000" w:rsidDel="00000000" w:rsidP="00000000" w:rsidRDefault="00000000" w:rsidRPr="00000000" w14:paraId="0000006F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Jagersma, Chap. 5 (21)</w:t>
      </w:r>
    </w:p>
    <w:p w:rsidR="00000000" w:rsidDel="00000000" w:rsidP="00000000" w:rsidRDefault="00000000" w:rsidRPr="00000000" w14:paraId="00000071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‘They are the ones of Geme-Bau.’</w:t>
      </w:r>
    </w:p>
    <w:p w:rsidR="00000000" w:rsidDel="00000000" w:rsidP="00000000" w:rsidRDefault="00000000" w:rsidRPr="00000000" w14:paraId="00000072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(Nik 1:7 2:4; L; 24)</w:t>
      </w:r>
    </w:p>
    <w:p w:rsidR="00000000" w:rsidDel="00000000" w:rsidP="00000000" w:rsidRDefault="00000000" w:rsidRPr="00000000" w14:paraId="00000073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geme2-{d}ba-ú-ka-me    </w:t>
      </w:r>
    </w:p>
    <w:p w:rsidR="00000000" w:rsidDel="00000000" w:rsidP="00000000" w:rsidRDefault="00000000" w:rsidRPr="00000000" w14:paraId="00000075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geme2.ba.ú.k=ak=Ø=me-eš    </w:t>
      </w:r>
    </w:p>
    <w:p w:rsidR="00000000" w:rsidDel="00000000" w:rsidP="00000000" w:rsidRDefault="00000000" w:rsidRPr="00000000" w14:paraId="00000076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Geme-Bau=GEN=ABS=be-3PL.S</w:t>
      </w:r>
    </w:p>
    <w:p w:rsidR="00000000" w:rsidDel="00000000" w:rsidP="00000000" w:rsidRDefault="00000000" w:rsidRPr="00000000" w14:paraId="00000077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Geme-Bau: nominal stem (divine name)</w:t>
      </w:r>
    </w:p>
    <w:p w:rsidR="00000000" w:rsidDel="00000000" w:rsidP="00000000" w:rsidRDefault="00000000" w:rsidRPr="00000000" w14:paraId="00000079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=GEN: "of Geme-Bau"</w:t>
      </w:r>
    </w:p>
    <w:p w:rsidR="00000000" w:rsidDel="00000000" w:rsidP="00000000" w:rsidRDefault="00000000" w:rsidRPr="00000000" w14:paraId="0000007A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=ABS: "the (one) of Geme-Bau", head (in absolutive case) not overtly realized</w:t>
      </w:r>
    </w:p>
    <w:p w:rsidR="00000000" w:rsidDel="00000000" w:rsidP="00000000" w:rsidRDefault="00000000" w:rsidRPr="00000000" w14:paraId="0000007B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=be (or -COP): copula (because the ABS has a zero morpheme, the copula requires us to infer it, because genitives are adnominal only)</w:t>
      </w:r>
    </w:p>
    <w:p w:rsidR="00000000" w:rsidDel="00000000" w:rsidP="00000000" w:rsidRDefault="00000000" w:rsidRPr="00000000" w14:paraId="0000007C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-3PL.S: subject argument</w:t>
      </w:r>
    </w:p>
    <w:p w:rsidR="00000000" w:rsidDel="00000000" w:rsidP="00000000" w:rsidRDefault="00000000" w:rsidRPr="00000000" w14:paraId="0000007D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 can thus not just assume that the morphology must just be copied to another word. It must be modelled as a property of the word that carries it, regardless of the syntax.</w:t>
      </w:r>
    </w:p>
    <w:p w:rsidR="00000000" w:rsidDel="00000000" w:rsidP="00000000" w:rsidRDefault="00000000" w:rsidRPr="00000000" w14:paraId="0000007F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Note that after slot 5, there can be an enclitic copula (glossed COP or </w:t>
      </w:r>
      <w:r w:rsidDel="00000000" w:rsidR="00000000" w:rsidRPr="00000000">
        <w:rPr>
          <w:i w:val="1"/>
          <w:rtl w:val="0"/>
        </w:rPr>
        <w:t xml:space="preserve">be</w:t>
      </w:r>
      <w:r w:rsidDel="00000000" w:rsidR="00000000" w:rsidRPr="00000000">
        <w:rPr>
          <w:rtl w:val="0"/>
        </w:rPr>
        <w:t xml:space="preserve"> below) that makes the noun (phrase) the predicate of a copular clause. It is a verb, then, and can be further inflected according to the verbal table above. In the ETSCRI corpus, the enclitic copula is described as Slot 6 (in addition to the five slots above):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http://oracc.museum.upenn.edu/etcsri/parsing/index.html#NP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tabs>
          <w:tab w:val="left" w:pos="1260"/>
        </w:tabs>
        <w:spacing w:after="240" w:lineRule="auto"/>
        <w:ind w:left="2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(105) NG 11 obv. 13–14 (Lagash, 21st c.) (P111315)</w:t>
      </w:r>
    </w:p>
    <w:p w:rsidR="00000000" w:rsidDel="00000000" w:rsidP="00000000" w:rsidRDefault="00000000" w:rsidRPr="00000000" w14:paraId="00000085">
      <w:pPr>
        <w:pageBreakBefore w:val="0"/>
        <w:tabs>
          <w:tab w:val="left" w:pos="3600"/>
          <w:tab w:val="left" w:pos="2340"/>
          <w:tab w:val="left" w:pos="1260"/>
        </w:tabs>
        <w:spacing w:before="20" w:lineRule="auto"/>
        <w:ind w:left="2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lu₂          </w:t>
        <w:tab/>
        <w:t xml:space="preserve">inim-ma    </w:t>
      </w:r>
      <w:r w:rsidDel="00000000" w:rsidR="00000000" w:rsidRPr="00000000">
        <w:rPr>
          <w:sz w:val="21"/>
          <w:szCs w:val="21"/>
          <w:vertAlign w:val="superscript"/>
          <w:rtl w:val="0"/>
        </w:rPr>
        <w:t xml:space="preserve">ŋeš</w:t>
      </w:r>
      <w:r w:rsidDel="00000000" w:rsidR="00000000" w:rsidRPr="00000000">
        <w:rPr>
          <w:sz w:val="21"/>
          <w:szCs w:val="21"/>
          <w:rtl w:val="0"/>
        </w:rPr>
        <w:t xml:space="preserve">kiri₆,</w:t>
        <w:tab/>
        <w:t xml:space="preserve">ur-</w:t>
      </w:r>
      <w:r w:rsidDel="00000000" w:rsidR="00000000" w:rsidRPr="00000000">
        <w:rPr>
          <w:sz w:val="21"/>
          <w:szCs w:val="21"/>
          <w:vertAlign w:val="superscript"/>
          <w:rtl w:val="0"/>
        </w:rPr>
        <w:t xml:space="preserve">d</w:t>
      </w:r>
      <w:r w:rsidDel="00000000" w:rsidR="00000000" w:rsidRPr="00000000">
        <w:rPr>
          <w:sz w:val="21"/>
          <w:szCs w:val="21"/>
          <w:rtl w:val="0"/>
        </w:rPr>
        <w:t xml:space="preserve">nanše-ra     ba-na-gid₂-da-me</w:t>
      </w:r>
    </w:p>
    <w:p w:rsidR="00000000" w:rsidDel="00000000" w:rsidP="00000000" w:rsidRDefault="00000000" w:rsidRPr="00000000" w14:paraId="00000086">
      <w:pPr>
        <w:pageBreakBefore w:val="0"/>
        <w:tabs>
          <w:tab w:val="left" w:pos="3600"/>
          <w:tab w:val="left" w:pos="2340"/>
          <w:tab w:val="left" w:pos="1260"/>
        </w:tabs>
        <w:spacing w:before="20" w:line="228" w:lineRule="auto"/>
        <w:ind w:left="240" w:righ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lu           </w:t>
        <w:tab/>
        <w:t xml:space="preserve">inim=ak</w:t>
        <w:tab/>
        <w:t xml:space="preserve">kiri=ø</w:t>
        <w:tab/>
        <w:t xml:space="preserve">ur-nanšek=ra</w:t>
        <w:tab/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S5</w:t>
      </w:r>
      <w:r w:rsidDel="00000000" w:rsidR="00000000" w:rsidRPr="00000000">
        <w:rPr>
          <w:sz w:val="21"/>
          <w:szCs w:val="21"/>
          <w:rtl w:val="0"/>
        </w:rPr>
        <w:t xml:space="preserve">ba-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S6</w:t>
      </w:r>
      <w:r w:rsidDel="00000000" w:rsidR="00000000" w:rsidRPr="00000000">
        <w:rPr>
          <w:sz w:val="21"/>
          <w:szCs w:val="21"/>
          <w:rtl w:val="0"/>
        </w:rPr>
        <w:t xml:space="preserve">nn-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S7</w:t>
      </w:r>
      <w:r w:rsidDel="00000000" w:rsidR="00000000" w:rsidRPr="00000000">
        <w:rPr>
          <w:sz w:val="21"/>
          <w:szCs w:val="21"/>
          <w:rtl w:val="0"/>
        </w:rPr>
        <w:t xml:space="preserve">a-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S12</w:t>
      </w:r>
      <w:r w:rsidDel="00000000" w:rsidR="00000000" w:rsidRPr="00000000">
        <w:rPr>
          <w:sz w:val="21"/>
          <w:szCs w:val="21"/>
          <w:rtl w:val="0"/>
        </w:rPr>
        <w:t xml:space="preserve">gid-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S14</w:t>
      </w:r>
      <w:r w:rsidDel="00000000" w:rsidR="00000000" w:rsidRPr="00000000">
        <w:rPr>
          <w:sz w:val="21"/>
          <w:szCs w:val="21"/>
          <w:rtl w:val="0"/>
        </w:rPr>
        <w:t xml:space="preserve">ø-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S15</w:t>
      </w:r>
      <w:r w:rsidDel="00000000" w:rsidR="00000000" w:rsidRPr="00000000">
        <w:rPr>
          <w:sz w:val="21"/>
          <w:szCs w:val="21"/>
          <w:rtl w:val="0"/>
        </w:rPr>
        <w:t xml:space="preserve">ʾa=ak=ø=me-eš</w:t>
      </w:r>
    </w:p>
    <w:p w:rsidR="00000000" w:rsidDel="00000000" w:rsidP="00000000" w:rsidRDefault="00000000" w:rsidRPr="00000000" w14:paraId="00000087">
      <w:pPr>
        <w:pageBreakBefore w:val="0"/>
        <w:tabs>
          <w:tab w:val="left" w:pos="3600"/>
          <w:tab w:val="left" w:pos="2340"/>
          <w:tab w:val="left" w:pos="1260"/>
        </w:tabs>
        <w:spacing w:before="20" w:line="228" w:lineRule="auto"/>
        <w:ind w:left="240" w:right="810" w:firstLine="0"/>
        <w:rPr>
          <w:sz w:val="17"/>
          <w:szCs w:val="17"/>
        </w:rPr>
      </w:pPr>
      <w:r w:rsidDel="00000000" w:rsidR="00000000" w:rsidRPr="00000000">
        <w:rPr>
          <w:sz w:val="21"/>
          <w:szCs w:val="21"/>
          <w:rtl w:val="0"/>
        </w:rPr>
        <w:t xml:space="preserve">person</w:t>
        <w:tab/>
        <w:t xml:space="preserve">word=</w:t>
      </w:r>
      <w:r w:rsidDel="00000000" w:rsidR="00000000" w:rsidRPr="00000000">
        <w:rPr>
          <w:sz w:val="17"/>
          <w:szCs w:val="17"/>
          <w:rtl w:val="0"/>
        </w:rPr>
        <w:t xml:space="preserve">GEN</w:t>
      </w:r>
      <w:r w:rsidDel="00000000" w:rsidR="00000000" w:rsidRPr="00000000">
        <w:rPr>
          <w:sz w:val="21"/>
          <w:szCs w:val="21"/>
          <w:rtl w:val="0"/>
        </w:rPr>
        <w:tab/>
        <w:t xml:space="preserve">garden=</w:t>
      </w:r>
      <w:r w:rsidDel="00000000" w:rsidR="00000000" w:rsidRPr="00000000">
        <w:rPr>
          <w:sz w:val="17"/>
          <w:szCs w:val="17"/>
          <w:rtl w:val="0"/>
        </w:rPr>
        <w:t xml:space="preserve">ABS</w:t>
        <w:tab/>
      </w:r>
      <w:r w:rsidDel="00000000" w:rsidR="00000000" w:rsidRPr="00000000">
        <w:rPr>
          <w:sz w:val="21"/>
          <w:szCs w:val="21"/>
          <w:rtl w:val="0"/>
        </w:rPr>
        <w:t xml:space="preserve">PN=</w:t>
      </w:r>
      <w:r w:rsidDel="00000000" w:rsidR="00000000" w:rsidRPr="00000000">
        <w:rPr>
          <w:sz w:val="17"/>
          <w:szCs w:val="17"/>
          <w:rtl w:val="0"/>
        </w:rPr>
        <w:t xml:space="preserve">DAT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H          </w:t>
      </w:r>
    </w:p>
    <w:p w:rsidR="00000000" w:rsidDel="00000000" w:rsidP="00000000" w:rsidRDefault="00000000" w:rsidRPr="00000000" w14:paraId="00000088">
      <w:pPr>
        <w:pageBreakBefore w:val="0"/>
        <w:tabs>
          <w:tab w:val="left" w:pos="3600"/>
          <w:tab w:val="left" w:pos="2340"/>
          <w:tab w:val="left" w:pos="1260"/>
        </w:tabs>
        <w:spacing w:before="20" w:line="228" w:lineRule="auto"/>
        <w:ind w:left="240" w:right="810" w:firstLine="0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MID</w:t>
      </w:r>
      <w:r w:rsidDel="00000000" w:rsidR="00000000" w:rsidRPr="00000000">
        <w:rPr>
          <w:sz w:val="21"/>
          <w:szCs w:val="21"/>
          <w:rtl w:val="0"/>
        </w:rPr>
        <w:t xml:space="preserve">-3.</w:t>
      </w:r>
      <w:r w:rsidDel="00000000" w:rsidR="00000000" w:rsidRPr="00000000">
        <w:rPr>
          <w:sz w:val="17"/>
          <w:szCs w:val="17"/>
          <w:rtl w:val="0"/>
        </w:rPr>
        <w:t xml:space="preserve">SG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H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17"/>
          <w:szCs w:val="17"/>
          <w:rtl w:val="0"/>
        </w:rPr>
        <w:t xml:space="preserve">DAT</w:t>
      </w:r>
      <w:r w:rsidDel="00000000" w:rsidR="00000000" w:rsidRPr="00000000">
        <w:rPr>
          <w:sz w:val="21"/>
          <w:szCs w:val="21"/>
          <w:rtl w:val="0"/>
        </w:rPr>
        <w:t xml:space="preserve">-long-3.</w:t>
      </w:r>
      <w:r w:rsidDel="00000000" w:rsidR="00000000" w:rsidRPr="00000000">
        <w:rPr>
          <w:sz w:val="17"/>
          <w:szCs w:val="17"/>
          <w:rtl w:val="0"/>
        </w:rPr>
        <w:t xml:space="preserve">SG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S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17"/>
          <w:szCs w:val="17"/>
          <w:rtl w:val="0"/>
        </w:rPr>
        <w:t xml:space="preserve">SUB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GEN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ABS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17"/>
          <w:szCs w:val="17"/>
          <w:rtl w:val="0"/>
        </w:rPr>
        <w:t xml:space="preserve">COP</w:t>
      </w:r>
      <w:r w:rsidDel="00000000" w:rsidR="00000000" w:rsidRPr="00000000">
        <w:rPr>
          <w:sz w:val="21"/>
          <w:szCs w:val="21"/>
          <w:rtl w:val="0"/>
        </w:rPr>
        <w:t xml:space="preserve">-3.</w:t>
      </w:r>
      <w:r w:rsidDel="00000000" w:rsidR="00000000" w:rsidRPr="00000000">
        <w:rPr>
          <w:sz w:val="17"/>
          <w:szCs w:val="17"/>
          <w:rtl w:val="0"/>
        </w:rPr>
        <w:t xml:space="preserve">PL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S</w:t>
      </w:r>
    </w:p>
    <w:p w:rsidR="00000000" w:rsidDel="00000000" w:rsidP="00000000" w:rsidRDefault="00000000" w:rsidRPr="00000000" w14:paraId="00000089">
      <w:pPr>
        <w:pageBreakBefore w:val="0"/>
        <w:spacing w:before="20" w:lineRule="auto"/>
        <w:ind w:left="2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“They were the witnesses that the garden was measured out for Ur-Nanshe.”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It is possible that a single word carries multiple markers for nominalization and copula.</w:t>
      </w:r>
    </w:p>
    <w:p w:rsidR="00000000" w:rsidDel="00000000" w:rsidP="00000000" w:rsidRDefault="00000000" w:rsidRPr="00000000" w14:paraId="0000008C">
      <w:pPr>
        <w:pageBreakBefore w:val="0"/>
        <w:spacing w:after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us₂-sa-zu-me-en,    </w:t>
        <w:tab/>
      </w:r>
    </w:p>
    <w:p w:rsidR="00000000" w:rsidDel="00000000" w:rsidP="00000000" w:rsidRDefault="00000000" w:rsidRPr="00000000" w14:paraId="0000008E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follow-PT=2.SG.POSS=ABS=COP-1.SG.S</w:t>
      </w:r>
    </w:p>
    <w:p w:rsidR="00000000" w:rsidDel="00000000" w:rsidP="00000000" w:rsidRDefault="00000000" w:rsidRPr="00000000" w14:paraId="0000008F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Verbal root </w:t>
      </w:r>
    </w:p>
    <w:p w:rsidR="00000000" w:rsidDel="00000000" w:rsidP="00000000" w:rsidRDefault="00000000" w:rsidRPr="00000000" w14:paraId="00000091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+PT =&gt; noun (participle)</w:t>
      </w:r>
    </w:p>
    <w:p w:rsidR="00000000" w:rsidDel="00000000" w:rsidP="00000000" w:rsidRDefault="00000000" w:rsidRPr="00000000" w14:paraId="00000092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+Poss</w:t>
      </w:r>
    </w:p>
    <w:p w:rsidR="00000000" w:rsidDel="00000000" w:rsidP="00000000" w:rsidRDefault="00000000" w:rsidRPr="00000000" w14:paraId="00000093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+ABS</w:t>
      </w:r>
    </w:p>
    <w:p w:rsidR="00000000" w:rsidDel="00000000" w:rsidP="00000000" w:rsidRDefault="00000000" w:rsidRPr="00000000" w14:paraId="00000094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+COP =&gt; predicate</w:t>
      </w:r>
    </w:p>
    <w:p w:rsidR="00000000" w:rsidDel="00000000" w:rsidP="00000000" w:rsidRDefault="00000000" w:rsidRPr="00000000" w14:paraId="0000009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+inflection</w:t>
      </w:r>
    </w:p>
    <w:p w:rsidR="00000000" w:rsidDel="00000000" w:rsidP="00000000" w:rsidRDefault="00000000" w:rsidRPr="00000000" w14:paraId="00000096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Examples for modelling:</w:t>
      </w:r>
    </w:p>
    <w:p w:rsidR="00000000" w:rsidDel="00000000" w:rsidP="00000000" w:rsidRDefault="00000000" w:rsidRPr="00000000" w14:paraId="00000098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Al-til-la</w:t>
      </w:r>
    </w:p>
    <w:p w:rsidR="00000000" w:rsidDel="00000000" w:rsidP="00000000" w:rsidRDefault="00000000" w:rsidRPr="00000000" w14:paraId="0000009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FIN-complete-3.SG.S-SUB=ABS=COP-3.SG.S </w:t>
      </w:r>
    </w:p>
    <w:p w:rsidR="00000000" w:rsidDel="00000000" w:rsidP="00000000" w:rsidRDefault="00000000" w:rsidRPr="00000000" w14:paraId="0000009B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Urim₅ki-ma-gin₇-nam</w:t>
      </w:r>
    </w:p>
    <w:p w:rsidR="00000000" w:rsidDel="00000000" w:rsidP="00000000" w:rsidRDefault="00000000" w:rsidRPr="00000000" w14:paraId="0000009D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GN=GEN=EQU=COP-3.SG.S</w:t>
      </w:r>
    </w:p>
    <w:p w:rsidR="00000000" w:rsidDel="00000000" w:rsidP="00000000" w:rsidRDefault="00000000" w:rsidRPr="00000000" w14:paraId="0000009E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Ba-na-gid₂-da-me</w:t>
      </w:r>
    </w:p>
    <w:p w:rsidR="00000000" w:rsidDel="00000000" w:rsidP="00000000" w:rsidRDefault="00000000" w:rsidRPr="00000000" w14:paraId="000000A0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MID-3.SG.H-DAT-long-3.SG.S-SUB=GEN=ABS-COP-3.PL.S</w:t>
      </w:r>
    </w:p>
    <w:p w:rsidR="00000000" w:rsidDel="00000000" w:rsidP="00000000" w:rsidRDefault="00000000" w:rsidRPr="00000000" w14:paraId="000000A1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MID-3.SG.H-DAT-long-3.SG.S (finite verb)</w:t>
      </w:r>
    </w:p>
    <w:p w:rsidR="00000000" w:rsidDel="00000000" w:rsidP="00000000" w:rsidRDefault="00000000" w:rsidRPr="00000000" w14:paraId="000000A3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+SUB =&gt; noun (relative clause)</w:t>
      </w:r>
    </w:p>
    <w:p w:rsidR="00000000" w:rsidDel="00000000" w:rsidP="00000000" w:rsidRDefault="00000000" w:rsidRPr="00000000" w14:paraId="000000A4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+GEN+ABS (stacked cases)</w:t>
      </w:r>
    </w:p>
    <w:p w:rsidR="00000000" w:rsidDel="00000000" w:rsidP="00000000" w:rsidRDefault="00000000" w:rsidRPr="00000000" w14:paraId="000000A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+COP =&gt; predicate</w:t>
      </w:r>
    </w:p>
    <w:p w:rsidR="00000000" w:rsidDel="00000000" w:rsidP="00000000" w:rsidRDefault="00000000" w:rsidRPr="00000000" w14:paraId="000000A6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+inflection</w:t>
      </w:r>
    </w:p>
    <w:p w:rsidR="00000000" w:rsidDel="00000000" w:rsidP="00000000" w:rsidRDefault="00000000" w:rsidRPr="00000000" w14:paraId="000000A7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i₃-me-a </w:t>
      </w:r>
    </w:p>
    <w:p w:rsidR="00000000" w:rsidDel="00000000" w:rsidP="00000000" w:rsidRDefault="00000000" w:rsidRPr="00000000" w14:paraId="000000A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FIN-COP-3.SG.S-SUB=GEN</w:t>
      </w:r>
    </w:p>
    <w:p w:rsidR="00000000" w:rsidDel="00000000" w:rsidP="00000000" w:rsidRDefault="00000000" w:rsidRPr="00000000" w14:paraId="000000A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FIN-COP-3.SG.S</w:t>
        <w:tab/>
        <w:t xml:space="preserve">verb (copula)</w:t>
      </w:r>
    </w:p>
    <w:p w:rsidR="00000000" w:rsidDel="00000000" w:rsidP="00000000" w:rsidRDefault="00000000" w:rsidRPr="00000000" w14:paraId="000000AB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+SUB =&gt; relative clause (noun)</w:t>
      </w:r>
    </w:p>
    <w:p w:rsidR="00000000" w:rsidDel="00000000" w:rsidP="00000000" w:rsidRDefault="00000000" w:rsidRPr="00000000" w14:paraId="000000A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+GEN </w:t>
      </w:r>
    </w:p>
    <w:p w:rsidR="00000000" w:rsidDel="00000000" w:rsidP="00000000" w:rsidRDefault="00000000" w:rsidRPr="00000000" w14:paraId="000000AD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pageBreakBefore w:val="0"/>
        <w:rPr/>
      </w:pPr>
      <w:bookmarkStart w:colFirst="0" w:colLast="0" w:name="_f5u58dqzmq2" w:id="3"/>
      <w:bookmarkEnd w:id="3"/>
      <w:r w:rsidDel="00000000" w:rsidR="00000000" w:rsidRPr="00000000">
        <w:rPr>
          <w:rtl w:val="0"/>
        </w:rPr>
        <w:t xml:space="preserve">Modelling challenges</w:t>
      </w:r>
    </w:p>
    <w:p w:rsidR="00000000" w:rsidDel="00000000" w:rsidP="00000000" w:rsidRDefault="00000000" w:rsidRPr="00000000" w14:paraId="000000A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ambiguity and compact encoding of alternative analyses and for context dependencies in the orthography/spellout, cf. Inuktitut (there is some allophony, for Sumerian, this is less the case, but the mapping from transliteration to orthography is imperfect)</w:t>
      </w:r>
    </w:p>
    <w:p w:rsidR="00000000" w:rsidDel="00000000" w:rsidP="00000000" w:rsidRDefault="00000000" w:rsidRPr="00000000" w14:paraId="000000B0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Novel things: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Sumerian inflectional(!) morphology is recursive. Anything coming out of one “paradigm” can be the “input” to the next. In terms of slots, the following regular expressions describe the patterns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For nominal stems, the morphology of the final word in a phrase can be</w:t>
      </w:r>
    </w:p>
    <w:p w:rsidR="00000000" w:rsidDel="00000000" w:rsidP="00000000" w:rsidRDefault="00000000" w:rsidRPr="00000000" w14:paraId="000000B4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STEM-N1?-N2?-N3?-N4?-N5*[-N3?-N4?-N5*]*[-COP-{further like verbs}]?</w:t>
      </w:r>
    </w:p>
    <w:p w:rsidR="00000000" w:rsidDel="00000000" w:rsidP="00000000" w:rsidRDefault="00000000" w:rsidRPr="00000000" w14:paraId="000000B5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With N1..N5 being nominal slots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For non-imperative verbal stems, their morphology can be described as </w:t>
      </w:r>
    </w:p>
    <w:p w:rsidR="00000000" w:rsidDel="00000000" w:rsidP="00000000" w:rsidRDefault="00000000" w:rsidRPr="00000000" w14:paraId="000000B7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[V1-]?[V2-]*[V3-]?[V4-]?-[V5-]?[V6-]?[V7-]?[V8-]?[V9-]?[V10-]?[V11-]?STEM[-V13]?[-V14]?[-V15[-... further like a nominal stem]?]?</w:t>
      </w:r>
    </w:p>
    <w:p w:rsidR="00000000" w:rsidDel="00000000" w:rsidP="00000000" w:rsidRDefault="00000000" w:rsidRPr="00000000" w14:paraId="000000B8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With V1..15 being verbal slots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Question: how do slots relate to paradigms? Is a paradigm (the set of possible fillers for) one slot? Is a paradigm a finite sequence of a series of slots? Is a paradigm the combination of all possible values for all possible slots (Note: that would lead to a combinatoric explosion, with 15 verbal slots and at least two possible fillers for each of them, every verbal root yields at least 2^15 possible forms, we don’t want to store all of that)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(NB: Sumerian is a little bit extreme, but recursive inflection is a widely known feature, so these are </w:t>
      </w:r>
      <w:r w:rsidDel="00000000" w:rsidR="00000000" w:rsidRPr="00000000">
        <w:rPr>
          <w:u w:val="single"/>
          <w:rtl w:val="0"/>
        </w:rPr>
        <w:t xml:space="preserve">not language-specific</w:t>
      </w:r>
      <w:r w:rsidDel="00000000" w:rsidR="00000000" w:rsidRPr="00000000">
        <w:rPr>
          <w:rtl w:val="0"/>
        </w:rPr>
        <w:t xml:space="preserve"> requirements, cf.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https://en.wikipedia.org/wiki/Suffixaufnahme</w:t>
        </w:r>
      </w:hyperlink>
      <w:r w:rsidDel="00000000" w:rsidR="00000000" w:rsidRPr="00000000">
        <w:rPr>
          <w:rtl w:val="0"/>
        </w:rPr>
        <w:t xml:space="preserve">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2.png"/><Relationship Id="rId22" Type="http://schemas.openxmlformats.org/officeDocument/2006/relationships/image" Target="media/image7.png"/><Relationship Id="rId10" Type="http://schemas.openxmlformats.org/officeDocument/2006/relationships/image" Target="media/image6.png"/><Relationship Id="rId21" Type="http://schemas.openxmlformats.org/officeDocument/2006/relationships/hyperlink" Target="http://oracc.museum.upenn.edu/etcsri/parsing/index.html#NP" TargetMode="External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23" Type="http://schemas.openxmlformats.org/officeDocument/2006/relationships/hyperlink" Target="https://en.wikipedia.org/wiki/Suffixaufnah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5.png"/><Relationship Id="rId17" Type="http://schemas.openxmlformats.org/officeDocument/2006/relationships/image" Target="media/image11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://oracc.museum.upenn.edu/etcsri/parsing/index.html#VPT" TargetMode="External"/><Relationship Id="rId18" Type="http://schemas.openxmlformats.org/officeDocument/2006/relationships/image" Target="media/image4.png"/><Relationship Id="rId7" Type="http://schemas.openxmlformats.org/officeDocument/2006/relationships/hyperlink" Target="https://cdli.ucla.edu/pubs/cdlp/cdlp0002_20160104.pdf" TargetMode="External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