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N6: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Bettina: use ontolex:Form but add subproperty wordform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James: in dictionaries the term “word-form” is not used, “other form” is sufficient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Julia: canonical form includes a shorter stem but other form need a longer stem (Georgian)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Bettina: for lexicographers ontolex modelling should be sufficient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James: easy way to extract all wordforms of a lexical entry would be nice, at the moment one has to query all “otherForm” Forms plus the “canonicalForm” Form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Bettina: property ontolex:lexicalForm is mmoon:hasWordform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Fahad: just query by using superproperty ontolex:lexicalForm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Fahad: a lexical entry/lemma/headword is not always a member of the paradigm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Bettina: Result: 2c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Provide usage recommendation and how to represent all wordforms of a lexical entry, also if the lexical entry is not one member of the wordforms in the paradigm (Julia: put that statement somewhere in the lexicography module (e.g. label of lexicog:Entry), because it is not a part of the morphology domain)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Julia: refer to lexicography module here and combine it in the usage recommendation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Bettina: also add to usage recommendation whether to stick to this naming of Form instances: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:lex_child a ontolex:LexicalEntry ;                                                </w:t>
        <w:br w:type="textWrapping"/>
        <w:t xml:space="preserve">  ontolex:lexicalForm :form_child_singular, :form_child_plural .              </w:t>
        <w:br w:type="textWrapping"/>
        <w:t xml:space="preserve">                                                                                </w:t>
        <w:br w:type="textWrapping"/>
        <w:t xml:space="preserve">:form_child_singular a ontolex:Form ;                                          </w:t>
        <w:br w:type="textWrapping"/>
        <w:t xml:space="preserve">  ontolex:writtenRep "child"@en .                                               </w:t>
        <w:br w:type="textWrapping"/>
        <w:t xml:space="preserve">                                                                                </w:t>
        <w:br w:type="textWrapping"/>
        <w:t xml:space="preserve">:form_child_plural a ontolex:Form ;                                            </w:t>
        <w:br w:type="textWrapping"/>
        <w:t xml:space="preserve">  ontolex:writtenRep "children"@en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Or if they should better be written as they are: :form_children instead of :form_child_plural because if a form entails multiple grammatical meanings they might get very long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N8 + N9: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Julia: has not found this data explicitly in lexicographic data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Bettina: maybe it is sufficient to just distinguish instances (via enummeration for example) and infer relations via same writtenRep or same meaning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Bettina: Decision: 1, lexicographers would probably also not use “allomorph” or “homonymous morph” but “don’t confuse with” or something more specific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James: is fine without the relations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General issue: model phonological processes explicitly?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James: prefers labeling the phonological process (Ablaut, inner modification ect.) instead of naming the particular phones involved; personal solution: collect all stems and interrelate them with the phonological process - would entail a list offering phonological processes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Bettina: generating wordforms goes beyond just describing existing morphological data within lexical datasets/traditional dictionaries (data enrichment, generating additional data)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