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McCrae (JM)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62.99212598425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156450" cy="46454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64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adaptations: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renamed object property morph:hasParadigm to morph:paradigm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object property morph:hasInflection to morph:inflectionType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object property morph:generates between morph:InflectionRule and ontolex:Form to morph:inflects and changed the range to morph:Morph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ex:1 restriction on morph:generates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CC: note that we also need a corresponding rule to morph for derivation relation and compound relation (that is, unless we permit Morph as subject of vartrans:source and take multiple sources)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BK: proposal: remove morph:generates between morph:WordFormationRule and ontolex:LexicalEntry (because it seems to me as if it tries to represent the creation of the blank blank node that contains the combination of the derivation/compound elements while the resulting ontolex:LexicalEntry resource is then the product of what is specified in this blank node) and instead create the object property morph:contains (for example) between morph:WordFormationRelation and morph:Morph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scope of the morph module vocabulary: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BK proposal: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vocabulary that describes static morphological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vocabulary or modeling elements that are involved in the dynamic process of generating new (static) morphological data, e.g. blank nodes and/or object properties that can be misunderstood as “creating” or “generating” new resources and statements - instead represent morphological data generation processes with workflow diagrams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use different namespace for data generation processes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 favour of 2 separate diagrams - one for static data representation and one for generation process representation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JC: in favour of releasing one diagram containing everything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execution of rules is out of scope of the model but the definition of rules should be contained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LIAM Model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650" cy="18907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:MorphPattern → morph:InflectionType, morph:WordformationRelation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:MorphTransform →  morph:InflectionRule, morph:WordFormationRule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:Prototype → blank node resulting from application of morph:InflectionRule and morph:WordFormationRule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