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2022-07-27,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</w:t>
      </w:r>
      <w:r w:rsidDel="00000000" w:rsidR="00000000" w:rsidRPr="00000000">
        <w:rPr>
          <w:color w:val="b7b7b7"/>
          <w:rtl w:val="0"/>
        </w:rPr>
        <w:t xml:space="preserve"> (30 min late, excused)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copied from last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l1nk25lt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_hbl1nk25ltov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h1ewb0qm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replacement (wrapup)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_5fh1ewb0qm7k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ch9o1lp0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_ytch9o1lp0of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puoeqhz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_1t7puoeqhzeq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82laky7b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1: detach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_2z82laky7bwb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k0zvfnaa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2: replace InflectionType by GrammaticalMeaning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_28k0zvfnaaec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r9fmagix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3: merge InflectionType with InflectionRule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_tur9fmagixty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fqhujyg5fxt">
            <w:r w:rsidDel="00000000" w:rsidR="00000000" w:rsidRPr="00000000">
              <w:rPr>
                <w:rtl w:val="0"/>
              </w:rPr>
              <w:t xml:space="preserve">2.5 related standards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_cfqhujyg5fxt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open problems/other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pqx9g9oh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extend documentation / draft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_9mpqx9g9ohx8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a8n37v0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Comparison with MMoOn (Mod. Greek, Hebrew, other; 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_uwa8n37v0ip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vk3hv6pg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baseConstraint + grammatical Meaning + baseType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_s3vk3hv6pguv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w7fttmp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Samples to be modelled (all)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_efw7fttmplfb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srcthlb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inflection tables (Fahad, others?)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_rzzsrcthlbm3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kvzzgmb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semitic consonantal roots (unassigned)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_w3ikvzzgmbyd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1kaaos1w4ub1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 (no updates)</w:t>
      </w:r>
    </w:p>
    <w:p w:rsidR="00000000" w:rsidDel="00000000" w:rsidP="00000000" w:rsidRDefault="00000000" w:rsidRPr="00000000" w14:paraId="0000002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overall, it seems people have least issues with alternative 1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or 2 for agg. languages (0 and 3 =&gt; combinatorial explosion)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MP: alternative 1 (or 3) (0 fails, 2 has terminological issues)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KG: need link with GrammaticalMeaning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on-going discussion: rename GrammaticalMeaning (esp., if used for slots or finite states)?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telco: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with KG-requested additions suggested as 4.16 (not confirmed)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https://github.com/ontolex/morph/tree/master/doc/diagrams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InflectionType: alternative 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grammaticalMeaning: linked with inflection rule and inflection type</w:t>
      </w:r>
      <w:r w:rsidDel="00000000" w:rsidR="00000000" w:rsidRPr="00000000">
        <w:rPr>
          <w:sz w:val="24"/>
          <w:szCs w:val="24"/>
          <w:rtl w:val="0"/>
        </w:rPr>
        <w:t xml:space="preserve"> (with question marks, link with inflection type requested by Penny&amp;Katerina)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 resurrected (only to simplify diagram: holds properties replacement, involves and examples, inherited by inflection rule and word formation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LLODREAM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site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http://llodapproaches2022.mruni.eu/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accepted (abstract), final paper for postproceedings only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feedback: abstract doesn’t show use cases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duration tbd.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conference: Sep. 20,21 (tbc) =&gt; discuss at next meeting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Full paper submission by </w:t>
      </w:r>
      <w:r w:rsidDel="00000000" w:rsidR="00000000" w:rsidRPr="00000000">
        <w:rPr>
          <w:b w:val="1"/>
          <w:rtl w:val="0"/>
        </w:rPr>
        <w:t xml:space="preserve">December 1st, 2022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Camera-ready version to upload until Friday, 29th, 2022. </w:t>
      </w: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MWE volume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multi-word expressions, see FrAC minutes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https://docs.google.com/document/d/1N2w_r6WLhFGESSMSUkG5FSROorXscDMQuB77qg9uDIA/edit#heading=h.i84zrrbp06oy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January (full paper)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of interest and short abstract handed in: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and compare modelling of MWEs in OntoLex core, decomp, FrAC, *and morph* (~compounding)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primarily designed as a FrAC paper, but input from morph contributors would be welcome (LiLa?)</w:t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Matteo&amp;Elena: in principle interested, will look into that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cf. open issues from earlier minutes</w:t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describe the relation between decomp and CompoundRelation</w:t>
      </w:r>
    </w:p>
    <w:p w:rsidR="00000000" w:rsidDel="00000000" w:rsidP="00000000" w:rsidRDefault="00000000" w:rsidRPr="00000000" w14:paraId="0000004F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: do this as part of writing a designated paper [venue?]</w:t>
      </w:r>
    </w:p>
    <w:p w:rsidR="00000000" w:rsidDel="00000000" w:rsidP="00000000" w:rsidRDefault="00000000" w:rsidRPr="00000000" w14:paraId="00000050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@unassigned: document relation between both modules in appendix</w:t>
      </w:r>
    </w:p>
    <w:p w:rsidR="00000000" w:rsidDel="00000000" w:rsidP="00000000" w:rsidRDefault="00000000" w:rsidRPr="00000000" w14:paraId="00000051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there is an alternative reification with decomp:Component, but this is less well-suited for compound analysis, because it doesn’t relate to lexicosemantic relations.</w:t>
      </w:r>
    </w:p>
    <w:p w:rsidR="00000000" w:rsidDel="00000000" w:rsidP="00000000" w:rsidRDefault="00000000" w:rsidRPr="00000000" w14:paraId="00000052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future publications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any “natural choices” for a venue?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Petra: Derimo-2023 Workshop, Prague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deadlines to be confirmed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5A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5B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5C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5D">
      <w:pPr>
        <w:numPr>
          <w:ilvl w:val="4"/>
          <w:numId w:val="9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60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61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n0e2ll1nl5iu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C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D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revise/confirm morpheme typology in lexinfo (suggested by Sina)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bl1nk25ltov" w:id="4"/>
      <w:bookmarkEnd w:id="4"/>
      <w:r w:rsidDel="00000000" w:rsidR="00000000" w:rsidRPr="00000000">
        <w:rPr>
          <w:rtl w:val="0"/>
        </w:rPr>
        <w:t xml:space="preserve">2.2 overview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model overview for Elena B., Sina and Petra: Inflection part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morphs are not morphemes, but can also be extrapolated from fullform dictionary (~allomorphs)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like Harris-Firth approach? Distributionalism?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CC: definitions are technical (= self-contained), not linguistic. we try to avoid commitments to any specific theory, concepts should still be intuitively comprehensible by linguists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Ionov: In this specific use case, almost. But we try to stay approach-independent. We just want to provide means to model _any_ data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two main scenarios</w:t>
      </w:r>
    </w:p>
    <w:p w:rsidR="00000000" w:rsidDel="00000000" w:rsidP="00000000" w:rsidRDefault="00000000" w:rsidRPr="00000000" w14:paraId="0000007A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an existing morpheme inventory or rule set (e.g., for generation, then, morphs are not automatically created)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induce morphs/rules and store them (and then use them as in the first scenario for morphological generation)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may be need to be revised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5fh1ewb0qm7k" w:id="5"/>
      <w:bookmarkEnd w:id="5"/>
      <w:r w:rsidDel="00000000" w:rsidR="00000000" w:rsidRPr="00000000">
        <w:rPr>
          <w:rtl w:val="0"/>
        </w:rPr>
        <w:t xml:space="preserve">2.3 replacement (wrapup)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conventions for replacement correspond to those of pattern matching/replacement in SPARQL, as formally defined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 SPARQL 1.1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https://www.w3.org/TR/sparql11-query/</w:t>
        </w:r>
      </w:hyperlink>
      <w:r w:rsidDel="00000000" w:rsidR="00000000" w:rsidRPr="00000000">
        <w:rPr>
          <w:rtl w:val="0"/>
        </w:rPr>
        <w:t xml:space="preserve">), which points to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function replace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https://www.w3.org/TR/xpath-functions/#func-replace</w:t>
        </w:r>
      </w:hyperlink>
      <w:r w:rsidDel="00000000" w:rsidR="00000000" w:rsidRPr="00000000">
        <w:rPr>
          <w:rtl w:val="0"/>
        </w:rPr>
        <w:t xml:space="preserve">), and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regex syntax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https://www.w3.org/TR/xpath-functions/#regex-syntax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more readable, informal description under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https://en.wikibooks.org/wiki/SPARQL/Expressions_and_Functions#REGEX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Note that in the formal syntax definition, “\” is used to mark special characters. However, as most SPARQL engines are Java-based and Java uses “\” as an internal escape symbol, you actually have to write “\\” instead of “\” as defined in the syntax. A literal single “\”-character in a regex must thus be double escaped (i.e., “\\\\”).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Note: This syntax originates from regular expressions in Perl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https://perldoc.perl.org/perlre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Except for minor differences in escaping and special characters, this is equivalent to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Java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https://www.w3schools.com/java/java_regex.asp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Sed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https://www.gnu.org/software/sed/manual/html_node/Regular-Expressions.html</w:t>
        </w:r>
      </w:hyperlink>
      <w:r w:rsidDel="00000000" w:rsidR="00000000" w:rsidRPr="00000000">
        <w:rPr>
          <w:rtl w:val="0"/>
        </w:rPr>
        <w:t xml:space="preserve">) (and other Unix command-line tools, e.g., grep)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ytch9o1lp0of" w:id="6"/>
      <w:bookmarkEnd w:id="6"/>
      <w:r w:rsidDel="00000000" w:rsidR="00000000" w:rsidRPr="00000000">
        <w:rPr>
          <w:rtl w:val="0"/>
        </w:rPr>
        <w:t xml:space="preserve">2.4 InflectionType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 definitions: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represents a single slot for a single grammatical category for all its possible values (e.g. all the cases)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 analogy: a column from a paradigm table without allomorphy/alternative variants for just a single morpheme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property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assigns an inflectional pattern of a form as belonging to a morphological pattern of a lexical entry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CC (offline): this definition </w:t>
      </w:r>
      <w:r w:rsidDel="00000000" w:rsidR="00000000" w:rsidRPr="00000000">
        <w:rPr>
          <w:i w:val="1"/>
          <w:rtl w:val="0"/>
        </w:rPr>
        <w:t xml:space="preserve">does not work</w:t>
      </w:r>
      <w:r w:rsidDel="00000000" w:rsidR="00000000" w:rsidRPr="00000000">
        <w:rPr>
          <w:rtl w:val="0"/>
        </w:rPr>
        <w:t xml:space="preserve"> for the current diagram, if one inflection type represents the position for *all* cases, we cannot associate the form for, say, dative with the rule for dative via inflection type (thanks to Matteo for pointing that out).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https://github.com/ontolex/morph/issues/11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Comparing alternatives: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7"/>
        </w:numPr>
        <w:spacing w:after="0" w:afterAutospacing="0"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1t7puoeqhzeq" w:id="7"/>
      <w:bookmarkEnd w:id="7"/>
      <w:r w:rsidDel="00000000" w:rsidR="00000000" w:rsidRPr="00000000">
        <w:rPr>
          <w:rtl w:val="0"/>
        </w:rPr>
        <w:t xml:space="preserve">current model</w:t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-inflectionType-&gt; InflectionType</w:t>
      </w:r>
    </w:p>
    <w:p w:rsidR="00000000" w:rsidDel="00000000" w:rsidP="00000000" w:rsidRDefault="00000000" w:rsidRPr="00000000" w14:paraId="00000096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InflectionType</w:t>
      </w:r>
    </w:p>
    <w:p w:rsidR="00000000" w:rsidDel="00000000" w:rsidP="00000000" w:rsidRDefault="00000000" w:rsidRPr="00000000" w14:paraId="00000097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-inflectionRule-&gt; InflectionRule</w:t>
      </w:r>
    </w:p>
    <w:p w:rsidR="00000000" w:rsidDel="00000000" w:rsidP="00000000" w:rsidRDefault="00000000" w:rsidRPr="00000000" w14:paraId="00000098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alternative 0: keep current model, one inflection type per paradigm and rule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backward-compatible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unneccessarily verbose: what is the difference to inflection rule then?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still contradicts current definition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7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z82laky7bwb" w:id="8"/>
      <w:bookmarkEnd w:id="8"/>
      <w:r w:rsidDel="00000000" w:rsidR="00000000" w:rsidRPr="00000000">
        <w:rPr>
          <w:rtl w:val="0"/>
        </w:rPr>
        <w:t xml:space="preserve">alternative 1: detach InflectionType</w:t>
      </w:r>
    </w:p>
    <w:p w:rsidR="00000000" w:rsidDel="00000000" w:rsidP="00000000" w:rsidRDefault="00000000" w:rsidRPr="00000000" w14:paraId="0000009F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0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1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InflectionRule -inflectionType-&gt; InflectionType</w:t>
      </w:r>
    </w:p>
    <w:p w:rsidR="00000000" w:rsidDel="00000000" w:rsidP="00000000" w:rsidRDefault="00000000" w:rsidRPr="00000000" w14:paraId="000000A2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we basically keep all the information we have, incl. finite state modelling and agglutination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inflection type won’t be used for fusional languages and probably fall out of use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terminologically, the finite state use case is still a bit of a stretch, a better name?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paradigms should be allomorphy-free, then (this is at odds with traditional usage of “paradigm”. in inflection tables, it normally includes allomorphic variants.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8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8k0zvfnaaec" w:id="9"/>
      <w:bookmarkEnd w:id="9"/>
      <w:r w:rsidDel="00000000" w:rsidR="00000000" w:rsidRPr="00000000">
        <w:rPr>
          <w:rtl w:val="0"/>
        </w:rPr>
        <w:t xml:space="preserve">alternative 2: replace InflectionType by GrammaticalMeaning 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GrammaticalMeaning -next-&gt; GrammaticalMeaning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basically keep all the information we have, incl. finite state modelling and agglutination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we eliminate one class and we address a feature request by Penny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slot information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plausibly a part of grammatical meaning (or, better, structure)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=&gt; rename next to nextSlot?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is very opaque, a better name? =&gt; we could introduce a designated subclass “FiniteState” of GrammaticalMeaning !?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6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tur9fmagixty" w:id="10"/>
      <w:bookmarkEnd w:id="10"/>
      <w:r w:rsidDel="00000000" w:rsidR="00000000" w:rsidRPr="00000000">
        <w:rPr>
          <w:rtl w:val="0"/>
        </w:rPr>
        <w:t xml:space="preserve">alternative 3: merge InflectionType with InflectionRule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-next-&gt; InflectionRule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keep all the information we have, incl. finite state modelling and agglutination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eliminate one class and address a feature request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“rule” is more relatable to what a finite state does than “inflection type” (which sounds static)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in agglutinating languages, the sequence is not over replacement rules, but classes of morphemes, so we lack a formal data structure for slots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conflates states and replacements, normally one state can have different replacements (“rules”)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Penny+Katerina (summary of last call, tests for fusional language):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 alternatives express the neccessary information (if a direct link with grammatical meaning is added)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prefer alternative 2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 and 3 are equivalent if a direct link with grammatical meaning is added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1-3 preferred over current model in terms of verbosity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that corresponds to my personal preference, too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minor refinements (to be discussed after applicability to agglutinative language has been shown)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rename GrammaticalMeaning to “Features” (or “FeatureBundle”; a “slot” is described as a bundle of features, so that makes sense, and finite states are informally associated with some kind of function, but typically not a specific grammatical meaning, esp. for morphophonological processes)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introduce a subclass FiniteState of FeatureBundle (we would informally capture the finite state itself as a feature, and the bundle would consist of exactly one such feature)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confirm on agglutinative languages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(Turkish) from Christian on GitHub under data/agglutinating/turkish.md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in detail next time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(in terms of verbosity) for alternatives 1 or 2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0 and 3 lead to combinatoric explosion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preference against alternative 0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are unproblematic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happy with slots as “grammatical meaning”, could mismatch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we can rename, see remarks from last time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to alternative 1 (or 3)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discussion: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possible workaround would be to create a class FeatureBundle with sub-classes GrammaticalMeaning, Slot and FiniteState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“inflection type” caused a lot of misunderstandings, so maybe use “Slot” instead, and really only for slots.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“next” formally defined for Feature bundle, but is relevant for Slot and FiniteState only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“grammaticalMeaning” needs to be renamed then, too, maybe “morph:feats”, subproperties grammaticalMeaning (range is GrammaticalMeaning) and inflectionType (range is Slot)</w:t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/>
      </w:pPr>
      <w:bookmarkStart w:colFirst="0" w:colLast="0" w:name="_cfqhujyg5fxt" w:id="11"/>
      <w:bookmarkEnd w:id="11"/>
      <w:r w:rsidDel="00000000" w:rsidR="00000000" w:rsidRPr="00000000">
        <w:rPr>
          <w:rtl w:val="0"/>
        </w:rPr>
        <w:t xml:space="preserve">2.5 related standards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 paralex standard for morphological lexicons (currently under development by Sacha Beniamine and Erich Round)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ASAP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jwteu367w2rp" w:id="12"/>
      <w:bookmarkEnd w:id="12"/>
      <w:r w:rsidDel="00000000" w:rsidR="00000000" w:rsidRPr="00000000">
        <w:rPr>
          <w:rtl w:val="0"/>
        </w:rPr>
        <w:t xml:space="preserve">3 open problems/other data [postponed]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9mpqx9g9ohx8" w:id="13"/>
      <w:bookmarkEnd w:id="13"/>
      <w:r w:rsidDel="00000000" w:rsidR="00000000" w:rsidRPr="00000000">
        <w:rPr>
          <w:rtl w:val="0"/>
        </w:rPr>
        <w:t xml:space="preserve">3.0 extend documentation / draft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: define cardinality restrictions: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https://github.com/ontolex/morph/issues/12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suggestion: when finalizing the vocabulary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morph subclasses in LexInfo rather than OntoLex-Morph, also add equivalence axioms (lexinfo:Prefix subclassOf [ lexinfo:termElement lexinfo:prefix ])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https://github.com/ontolex/lexinfo/pull/29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merged yet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color w:val="202124"/>
          <w:highlight w:val="white"/>
          <w:rtl w:val="0"/>
        </w:rPr>
        <w:t xml:space="preserve">grouping of lexical (sub-) entries 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LiLa: “flexeme”, sub-entries with different paradigms, but identical in meaning, etc.</w:t>
      </w:r>
    </w:p>
    <w:p w:rsidR="00000000" w:rsidDel="00000000" w:rsidP="00000000" w:rsidRDefault="00000000" w:rsidRPr="00000000" w14:paraId="000000E3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tbc:</w:t>
      </w:r>
      <w:r w:rsidDel="00000000" w:rsidR="00000000" w:rsidRPr="00000000">
        <w:rPr>
          <w:color w:val="202124"/>
          <w:highlight w:val="white"/>
          <w:rtl w:val="0"/>
        </w:rPr>
        <w:t xml:space="preserve"> by LiLa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sub-entries of the same lexical entry to mark contracted and non-contracted versions of the same paradigm</w:t>
      </w:r>
    </w:p>
    <w:p w:rsidR="00000000" w:rsidDel="00000000" w:rsidP="00000000" w:rsidRDefault="00000000" w:rsidRPr="00000000" w14:paraId="000000E6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todo@Penny</w:t>
      </w:r>
      <w:r w:rsidDel="00000000" w:rsidR="00000000" w:rsidRPr="00000000">
        <w:rPr>
          <w:color w:val="202124"/>
          <w:highlight w:val="white"/>
          <w:rtl w:val="0"/>
        </w:rPr>
        <w:t xml:space="preserve">: tbc. whether lexinfo needs to be extended for that </w:t>
      </w:r>
    </w:p>
    <w:p w:rsidR="00000000" w:rsidDel="00000000" w:rsidP="00000000" w:rsidRDefault="00000000" w:rsidRPr="00000000" w14:paraId="000000E8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domain: LexicalSense</w:t>
      </w:r>
    </w:p>
    <w:p w:rsidR="00000000" w:rsidDel="00000000" w:rsidP="00000000" w:rsidRDefault="00000000" w:rsidRPr="00000000" w14:paraId="000000E9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</w:t>
      </w:r>
      <w:r w:rsidDel="00000000" w:rsidR="00000000" w:rsidRPr="00000000">
        <w:rPr>
          <w:color w:val="202124"/>
          <w:highlight w:val="white"/>
          <w:rtl w:val="0"/>
        </w:rPr>
        <w:t xml:space="preserve">: ask John</w:t>
      </w:r>
    </w:p>
    <w:p w:rsidR="00000000" w:rsidDel="00000000" w:rsidP="00000000" w:rsidRDefault="00000000" w:rsidRPr="00000000" w14:paraId="000000EA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these properties are added, no sub-groups necessary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@all: think about 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Penny: could work, but domain is ontolex:LexicalSense. Can this be changed?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ask John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cliticization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OLD_TODO@Sina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Italian: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farcela: https://dizionario.internazionale.it/parola/farcela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reduplication?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by Sina last time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 consensus: no special vocabulary needed, but should be confirmed on sample data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uwa8n37v0ip" w:id="14"/>
      <w:bookmarkEnd w:id="14"/>
      <w:r w:rsidDel="00000000" w:rsidR="00000000" w:rsidRPr="00000000">
        <w:rPr>
          <w:rtl w:val="0"/>
        </w:rPr>
        <w:t xml:space="preserve">3.1 Comparison with MMoOn (Mod. Greek, Hebrew, other; unassigned)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Greek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Bettina’s data (link?)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directly comparable, current Gk. data is inflectional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s3vk3hv6pguv" w:id="15"/>
      <w:bookmarkEnd w:id="15"/>
      <w:r w:rsidDel="00000000" w:rsidR="00000000" w:rsidRPr="00000000">
        <w:rPr>
          <w:rtl w:val="0"/>
        </w:rPr>
        <w:t xml:space="preserve">3.2 baseConstraint + grammatical Meaning + baseType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Sina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(sample date from Central Kurdish)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:ish_morph a clitic / endoclitic; # lexinfo:Clitic ???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ontolex:sense [ skos:definition “too, also” ];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ontolex:canonicalForm [ ontolex:writtenRep “îş” ];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morph:baseConstraint [ :pos "v", "n", "a" ] 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:sh_morph a ontolex:Affix, lexinfo:Suffix . # allomorph of “îş”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Christian: sample data from Inuktitut (GDrive)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https://github.com/ontolex/morph/raw/master/data/gdrive/Polysynthetic_Inuktitut.docx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{atausi:atausiq/1n}{u:u/1nv}{lugu:lugu/tv-part-1s-3s-fut}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{one}{existence; is}{part. future: while I ...him/her/it}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:atausiq_le a ontolex:LexicalEntry; 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“one” ];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a ontolex:Form; ontolex:writtenRep “atausiq” ];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a ontolex:Form; ontolex:writtenRep “atausi”; morph:grammaticalMeaning “n” ].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:u_morph a ontolex:Affix, lexinfo:Suffix;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“existence; is” ];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“u” ];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“n” ]; # from “1nv”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“v” ]. # from “1nv” : convert noun into verb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note: this generates a stem, not a word, it only becomes a proper word with inflection: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:lugu_morph a ontolex:Affix, lexinfo:Suffix;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“while …” ];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“lugu” ];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“v” ]; # from “tv-”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“v-part-1s-3s-fut” ].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:atausiu_le a lexinfo:Stem, ontolex:LexicalEntry;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“so. will be sth.” ];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ontolex:writtenRep “atausiu” ]; 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# this is not a free-standing lexeme, and there is no canonical form that is a word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ontolex:lexicalForm [ ontolex:writtenRep “atausiulugu” ;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rdf:_1 :atausiq_le;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rdf:_2 :u_morph;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rdf:_3 :lugu_morph ].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this is purely descriptive, no explicit rules written, but baseConstraint and grammaticalMeaning allow to check consistency conditions.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Note that Inuktitut inflection involves some level of assimilitation, this is modelled here by means of baseForm (dropping of -q), but the contexts are not marked explicitly.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We could easily model that if morph:baseType is in morph:GrammaticalMeaning rather than in ontolex:Form. That would be necessary if a particular base form is only generated by a morpheme rather than given for a root/stem.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efw7fttmplfb" w:id="16"/>
      <w:bookmarkEnd w:id="16"/>
      <w:r w:rsidDel="00000000" w:rsidR="00000000" w:rsidRPr="00000000">
        <w:rPr>
          <w:rtl w:val="0"/>
        </w:rPr>
        <w:t xml:space="preserve">3.3 Samples to be modelled (all)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most sample data originally on GDrive (where is the link?)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now (also) on GitHub: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CC: can we fully move there? 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samples @ GitHub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Latin (word formation&lt;LiLa: tbc: is that covered?)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Sumerian (agglutination&lt;CC: open requirement: slots) 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Old High German (word formation&lt;CC: open requirement: tree structures)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(word formation&lt;Stefania; tbc: is that covered?)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(inflection&lt;WHOM?; tbc: is that covered?)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Inuktitut (incorporation, polypersonal agreement, assimilation/allomorphy; generation/parsing&lt;CC: open requirement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UniMorph (inflection&lt;CC: todo: apply modelling), cf.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https://github.com/acoli-repo/acoli-morph/tree/main/unimorph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Finnish (generation&lt;Max: todo: to be updated):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https://github.com/ontolex/morph/blob/master/data/generation/dataset-generation-example.ttl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?FST (FOMA, Quechua):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https://github.com/ontolex/morph/tree/master/data/foma/quechua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LEXIS (Greek Parole-Simple dict@Penny)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DeriNet/UDer/Universal Derivations</w:t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Latin@LiLa ?</w:t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German@Christian: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(UDer 0.5 only)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SFST: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(Morphisto@Christian, German; inflection only)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GermaNet compounds: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(German@Christian) 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Morph@Thierry (= Italian samples?)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(please list your data, unless described in separate section)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Open requirements</w:t>
      </w:r>
      <w:r w:rsidDel="00000000" w:rsidR="00000000" w:rsidRPr="00000000">
        <w:rPr>
          <w:rtl w:val="0"/>
        </w:rPr>
        <w:t xml:space="preserve">: IGT/ToolBox/FLeX data, inflection tables!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rzzsrcthlbm3" w:id="17"/>
      <w:bookmarkEnd w:id="17"/>
      <w:r w:rsidDel="00000000" w:rsidR="00000000" w:rsidRPr="00000000">
        <w:rPr>
          <w:rtl w:val="0"/>
        </w:rPr>
        <w:t xml:space="preserve">3.4 inflection tables (Fahad, others?) 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Latin (?)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Old English (Fahad): sample data: coman/quoman example, cf.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postponed until Fahad has some progress on modelling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w3ikvzzgmbyd" w:id="18"/>
      <w:bookmarkEnd w:id="18"/>
      <w:r w:rsidDel="00000000" w:rsidR="00000000" w:rsidRPr="00000000">
        <w:rPr>
          <w:rtl w:val="0"/>
        </w:rPr>
        <w:t xml:space="preserve">3.5 semitic consonantal roots (unassigned)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the same consonant cluster, we can generate different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cf.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49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cannot (always) be modelled as inflection, as OntoLex requires (at most) one POS per lexical entry</w:t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note that this page describes vowelized words as “derivatives”: can we model this as derivation ? (but the process occurs in inflection, too)</w:t>
      </w:r>
    </w:p>
    <w:p w:rsidR="00000000" w:rsidDel="00000000" w:rsidP="00000000" w:rsidRDefault="00000000" w:rsidRPr="00000000" w14:paraId="0000014B">
      <w:pPr>
        <w:numPr>
          <w:ilvl w:val="3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given a real dictionary, can be easily distinguish derivation and inflection?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Arabic example from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 (from Max)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organized by roots, but root is not made explicit</w:t>
      </w:r>
    </w:p>
    <w:p w:rsidR="00000000" w:rsidDel="00000000" w:rsidP="00000000" w:rsidRDefault="00000000" w:rsidRPr="00000000" w14:paraId="0000014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todo@unassigned</w:t>
      </w:r>
      <w:r w:rsidDel="00000000" w:rsidR="00000000" w:rsidRPr="00000000">
        <w:rPr>
          <w:sz w:val="24"/>
          <w:szCs w:val="24"/>
          <w:rtl w:val="0"/>
        </w:rPr>
        <w:t xml:space="preserve">: put an example into GitHub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postponed until we have a Semitic speaker</w:t>
      </w:r>
    </w:p>
    <w:p w:rsidR="00000000" w:rsidDel="00000000" w:rsidP="00000000" w:rsidRDefault="00000000" w:rsidRPr="00000000" w14:paraId="00000150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151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4u89668ejc7q" w:id="19"/>
      <w:bookmarkEnd w:id="19"/>
      <w:r w:rsidDel="00000000" w:rsidR="00000000" w:rsidRPr="00000000">
        <w:rPr>
          <w:rtl w:val="0"/>
        </w:rPr>
        <w:t xml:space="preserve">3. Agenda and TODOs for September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sample Arabic data and try to model it + look into Bettina’s Hebrew data (Sina + Max)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Kurdish data</w:t>
      </w:r>
    </w:p>
    <w:p w:rsidR="00000000" w:rsidDel="00000000" w:rsidP="00000000" w:rsidRDefault="00000000" w:rsidRPr="00000000" w14:paraId="000001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Italian: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https://dizionario.internazionale.it/parola/farcela</w:t>
        </w:r>
      </w:hyperlink>
      <w:r w:rsidDel="00000000" w:rsidR="00000000" w:rsidRPr="00000000">
        <w:rPr>
          <w:rtl w:val="0"/>
        </w:rPr>
        <w:t xml:space="preserve"> + reflexives in Spanish, prefixes in German — use as a single form, writtenRep with a </w:t>
      </w:r>
      <w:commentRangeStart w:id="3"/>
      <w:commentRangeStart w:id="4"/>
      <w:r w:rsidDel="00000000" w:rsidR="00000000" w:rsidRPr="00000000">
        <w:rPr>
          <w:rtl w:val="0"/>
        </w:rPr>
        <w:t xml:space="preserve">space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agglutinative language data with different alternatives (Max)</w:t>
      </w:r>
    </w:p>
    <w:p w:rsidR="00000000" w:rsidDel="00000000" w:rsidP="00000000" w:rsidRDefault="00000000" w:rsidRPr="00000000" w14:paraId="000001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Khadija if she will join us in September (Fahad)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9daai1k0dndg" w:id="20"/>
      <w:bookmarkEnd w:id="20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next call </w:t>
      </w:r>
      <w:r w:rsidDel="00000000" w:rsidR="00000000" w:rsidRPr="00000000">
        <w:rPr>
          <w:b w:val="1"/>
          <w:rtl w:val="0"/>
        </w:rPr>
        <w:t xml:space="preserve">in September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7.09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9-27T07:32:15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 deadline: 31.01</w:t>
      </w:r>
    </w:p>
  </w:comment>
  <w:comment w:author="Fahad Khan" w:id="3" w:date="2022-07-27T12:11:36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clitic isn't always separated from inflected 'fare': e.g., facciamocela is the first person plural imperative</w:t>
      </w:r>
    </w:p>
  </w:comment>
  <w:comment w:author="Fahad Khan" w:id="4" w:date="2022-07-29T14:46:33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portuguese it can be written after the inflected verb with a hyphen, e.g., chamo-me</w:t>
      </w:r>
    </w:p>
  </w:comment>
  <w:comment w:author="Max Ionov" w:id="1" w:date="2022-07-27T11:41:28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Bettina's MMoOn: https://github.com/MMoOn-Project/MMoOn</w:t>
      </w:r>
    </w:p>
  </w:comment>
  <w:comment w:author="Max Ionov" w:id="2" w:date="2022-07-27T11:46:38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http://www.semantic-web-journal.net/system/files/swj2549.pdf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K-T-B" TargetMode="External"/><Relationship Id="rId20" Type="http://schemas.openxmlformats.org/officeDocument/2006/relationships/hyperlink" Target="https://www.w3.org/TR/xpath-functions/#regex-syntax" TargetMode="External"/><Relationship Id="rId42" Type="http://schemas.openxmlformats.org/officeDocument/2006/relationships/hyperlink" Target="https://en.wikipedia.org/wiki/Dictionary_of_Modern_Written_Arabic" TargetMode="External"/><Relationship Id="rId41" Type="http://schemas.openxmlformats.org/officeDocument/2006/relationships/hyperlink" Target="https://en.wiktionary.org/wiki/%D9%83_%D8%AA_%D8%A8" TargetMode="External"/><Relationship Id="rId22" Type="http://schemas.openxmlformats.org/officeDocument/2006/relationships/hyperlink" Target="https://perldoc.perl.org/perlre" TargetMode="External"/><Relationship Id="rId21" Type="http://schemas.openxmlformats.org/officeDocument/2006/relationships/hyperlink" Target="https://en.wikibooks.org/wiki/SPARQL/Expressions_and_Functions#REGEX" TargetMode="External"/><Relationship Id="rId43" Type="http://schemas.openxmlformats.org/officeDocument/2006/relationships/hyperlink" Target="https://dizionario.internazionale.it/parola/farcela" TargetMode="External"/><Relationship Id="rId24" Type="http://schemas.openxmlformats.org/officeDocument/2006/relationships/hyperlink" Target="https://www.gnu.org/software/sed/manual/html_node/Regular-Expressions.html" TargetMode="External"/><Relationship Id="rId23" Type="http://schemas.openxmlformats.org/officeDocument/2006/relationships/hyperlink" Target="https://www.w3schools.com/java/java_regex.as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26" Type="http://schemas.openxmlformats.org/officeDocument/2006/relationships/hyperlink" Target="https://github.com/ontolex/morph/issues/12" TargetMode="External"/><Relationship Id="rId25" Type="http://schemas.openxmlformats.org/officeDocument/2006/relationships/hyperlink" Target="https://github.com/ontolex/morph/issues/11" TargetMode="External"/><Relationship Id="rId28" Type="http://schemas.openxmlformats.org/officeDocument/2006/relationships/hyperlink" Target="https://en.wiktionary.org/wiki/andiamoci" TargetMode="External"/><Relationship Id="rId27" Type="http://schemas.openxmlformats.org/officeDocument/2006/relationships/hyperlink" Target="https://github.com/ontolex/lexinfo/pull/2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Relationship Id="rId31" Type="http://schemas.openxmlformats.org/officeDocument/2006/relationships/hyperlink" Target="https://github.com/ontolex/morph/raw/master/data/gdrive/Polysynthetic_Inuktitut.docx" TargetMode="External"/><Relationship Id="rId30" Type="http://schemas.openxmlformats.org/officeDocument/2006/relationships/hyperlink" Target="https://link.springer.com/chapter/10.1007/978-3-030-98876-0_34" TargetMode="External"/><Relationship Id="rId11" Type="http://schemas.openxmlformats.org/officeDocument/2006/relationships/hyperlink" Target="https://github.com/ontolex/morph/tree/master/doc/diagrams" TargetMode="External"/><Relationship Id="rId33" Type="http://schemas.openxmlformats.org/officeDocument/2006/relationships/hyperlink" Target="https://github.com/acoli-repo/acoli-morph/tree/main/unimorph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github.com/ontolex/morph/tree/master/data/gdrive" TargetMode="External"/><Relationship Id="rId13" Type="http://schemas.openxmlformats.org/officeDocument/2006/relationships/hyperlink" Target="http://llodapproaches2022.mruni.eu/" TargetMode="External"/><Relationship Id="rId35" Type="http://schemas.openxmlformats.org/officeDocument/2006/relationships/hyperlink" Target="https://github.com/ontolex/morph/tree/master/data/foma/quechua" TargetMode="External"/><Relationship Id="rId12" Type="http://schemas.openxmlformats.org/officeDocument/2006/relationships/hyperlink" Target="https://easychair.org/cfp/llodream2022" TargetMode="External"/><Relationship Id="rId34" Type="http://schemas.openxmlformats.org/officeDocument/2006/relationships/hyperlink" Target="https://github.com/ontolex/morph/blob/master/data/generation/dataset-generation-example.ttl" TargetMode="External"/><Relationship Id="rId15" Type="http://schemas.openxmlformats.org/officeDocument/2006/relationships/hyperlink" Target="https://docs.google.com/document/d/1N2w_r6WLhFGESSMSUkG5FSROorXscDMQuB77qg9uDIA/edit#heading=h.i84zrrbp06oy" TargetMode="External"/><Relationship Id="rId37" Type="http://schemas.openxmlformats.org/officeDocument/2006/relationships/hyperlink" Target="https://github.com/acoli-repo/acoli-morph" TargetMode="External"/><Relationship Id="rId14" Type="http://schemas.openxmlformats.org/officeDocument/2006/relationships/hyperlink" Target="https://docs.google.com/document/d/1a7OWCgcD6qDYPta0shiIh6CzWTw7E1ptnwQKXVA4xDo/edit" TargetMode="External"/><Relationship Id="rId36" Type="http://schemas.openxmlformats.org/officeDocument/2006/relationships/hyperlink" Target="https://github.com/acoli-repo/acoli-morph" TargetMode="External"/><Relationship Id="rId17" Type="http://schemas.openxmlformats.org/officeDocument/2006/relationships/hyperlink" Target="https://github.com/ontolex/morph/issues" TargetMode="External"/><Relationship Id="rId39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github.com/ontolex/morph/blob/master/draft.md" TargetMode="External"/><Relationship Id="rId38" Type="http://schemas.openxmlformats.org/officeDocument/2006/relationships/hyperlink" Target="https://github.com/acoli-repo/acoli-morph" TargetMode="External"/><Relationship Id="rId19" Type="http://schemas.openxmlformats.org/officeDocument/2006/relationships/hyperlink" Target="https://www.w3.org/TR/xpath-functions/#func-replace" TargetMode="External"/><Relationship Id="rId18" Type="http://schemas.openxmlformats.org/officeDocument/2006/relationships/hyperlink" Target="https://www.w3.org/TR/sparql11-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