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DC80A" w14:textId="77777777" w:rsidR="00E90075" w:rsidRDefault="00E90075" w:rsidP="00E90075">
      <w:pPr>
        <w:pStyle w:val="Heading1"/>
      </w:pPr>
      <w:r>
        <w:t>Section I</w:t>
      </w:r>
      <w:r w:rsidRPr="00275E5C">
        <w:t xml:space="preserve">: </w:t>
      </w:r>
      <w:r>
        <w:t>Executive Summary</w:t>
      </w:r>
    </w:p>
    <w:p w14:paraId="4F2FEE4A" w14:textId="07D3F791" w:rsidR="00A07139" w:rsidRDefault="00526022" w:rsidP="00EB4097">
      <w:pPr>
        <w:jc w:val="both"/>
      </w:pPr>
      <w:r w:rsidRPr="00F54941">
        <w:t xml:space="preserve">This document is a summary of the analysis performed on the SOA </w:t>
      </w:r>
      <w:r w:rsidR="00AE13CF">
        <w:t>dataset</w:t>
      </w:r>
      <w:r w:rsidRPr="00F54941">
        <w:t xml:space="preserve">.  A description of this </w:t>
      </w:r>
      <w:r w:rsidR="00AE13CF">
        <w:t>dataset</w:t>
      </w:r>
      <w:r w:rsidRPr="00F54941">
        <w:t xml:space="preserve"> can be found at </w:t>
      </w:r>
      <w:hyperlink r:id="rId6" w:history="1">
        <w:r w:rsidRPr="00F54941">
          <w:rPr>
            <w:rStyle w:val="Hyperlink"/>
          </w:rPr>
          <w:t>www.soa.org</w:t>
        </w:r>
      </w:hyperlink>
      <w:r w:rsidRPr="00F54941">
        <w:t xml:space="preserve">.  The objective of this analysis was to determine what issues, gaps, inconsistencies, problems, </w:t>
      </w:r>
      <w:r w:rsidR="004222AA">
        <w:t xml:space="preserve">or </w:t>
      </w:r>
      <w:r w:rsidRPr="00F54941">
        <w:t xml:space="preserve">outliers exist within the </w:t>
      </w:r>
      <w:r w:rsidR="00AE13CF">
        <w:t>dataset</w:t>
      </w:r>
      <w:r w:rsidRPr="00F54941">
        <w:t>.</w:t>
      </w:r>
      <w:r w:rsidR="006955E5" w:rsidRPr="00F54941">
        <w:t xml:space="preserve">  This dataset was too large (</w:t>
      </w:r>
      <w:r w:rsidR="004222AA">
        <w:t xml:space="preserve">at </w:t>
      </w:r>
      <w:r w:rsidR="006955E5" w:rsidRPr="00F54941">
        <w:t>over 30</w:t>
      </w:r>
      <w:r w:rsidR="00066D21">
        <w:t xml:space="preserve"> </w:t>
      </w:r>
      <w:r w:rsidR="006955E5" w:rsidRPr="00F54941">
        <w:t xml:space="preserve">million rows and 32 columns) </w:t>
      </w:r>
      <w:r w:rsidR="004222AA">
        <w:t>to analyze in Microsoft</w:t>
      </w:r>
      <w:r w:rsidR="004222AA" w:rsidRPr="00F54941">
        <w:t xml:space="preserve"> </w:t>
      </w:r>
      <w:r w:rsidR="006955E5" w:rsidRPr="00F54941">
        <w:t xml:space="preserve">Excel, so other </w:t>
      </w:r>
      <w:r w:rsidR="004222AA">
        <w:t xml:space="preserve">analytical </w:t>
      </w:r>
      <w:r w:rsidR="006955E5" w:rsidRPr="00F54941">
        <w:t>tools had to be used</w:t>
      </w:r>
      <w:r w:rsidR="004222AA">
        <w:t xml:space="preserve"> to </w:t>
      </w:r>
      <w:r w:rsidR="00294573">
        <w:t xml:space="preserve">manipulate and </w:t>
      </w:r>
      <w:r w:rsidR="004222AA">
        <w:t>gain insights from the data</w:t>
      </w:r>
      <w:r w:rsidR="006955E5" w:rsidRPr="00F54941">
        <w:t>.  For our analysis, we imported the dataset into R</w:t>
      </w:r>
      <w:r w:rsidR="00294573">
        <w:t>Studio</w:t>
      </w:r>
      <w:r w:rsidR="006955E5" w:rsidRPr="00F54941">
        <w:t xml:space="preserve"> using</w:t>
      </w:r>
      <w:r w:rsidR="004222AA">
        <w:t xml:space="preserve"> the Amazon</w:t>
      </w:r>
      <w:r w:rsidR="00F031E7">
        <w:t xml:space="preserve"> Web Services</w:t>
      </w:r>
      <w:r w:rsidR="004222AA">
        <w:t xml:space="preserve"> Simple Storage Service (AWS S3)</w:t>
      </w:r>
      <w:r w:rsidR="006955E5" w:rsidRPr="00F54941">
        <w:t xml:space="preserve">.  The </w:t>
      </w:r>
      <w:r w:rsidR="004222AA" w:rsidRPr="00F54941">
        <w:t>data</w:t>
      </w:r>
      <w:r w:rsidR="004222AA">
        <w:t>set, and multiple subsets of the dataset by plan type,</w:t>
      </w:r>
      <w:r w:rsidR="004222AA" w:rsidRPr="00F54941">
        <w:t xml:space="preserve"> </w:t>
      </w:r>
      <w:r w:rsidR="006955E5" w:rsidRPr="00F54941">
        <w:t>were converted to R data objects to make data manipulation more efficient.</w:t>
      </w:r>
      <w:r w:rsidR="00A07139" w:rsidRPr="00F54941">
        <w:t xml:space="preserve">  Analysis was then performed </w:t>
      </w:r>
      <w:r w:rsidR="00294573">
        <w:t>at</w:t>
      </w:r>
      <w:r w:rsidR="00294573" w:rsidRPr="00F54941">
        <w:t xml:space="preserve"> </w:t>
      </w:r>
      <w:r w:rsidR="00A07139" w:rsidRPr="00F54941">
        <w:t xml:space="preserve">the individual </w:t>
      </w:r>
      <w:r w:rsidR="00294573">
        <w:t>policy (</w:t>
      </w:r>
      <w:r w:rsidR="00A07139" w:rsidRPr="00F54941">
        <w:t>row</w:t>
      </w:r>
      <w:r w:rsidR="00294573">
        <w:t>)</w:t>
      </w:r>
      <w:r w:rsidR="00A07139" w:rsidRPr="00F54941">
        <w:t xml:space="preserve"> </w:t>
      </w:r>
      <w:r w:rsidR="004F70BF">
        <w:t xml:space="preserve">and </w:t>
      </w:r>
      <w:r w:rsidR="00A07139" w:rsidRPr="00F54941">
        <w:t>aggregated levels.  This 1</w:t>
      </w:r>
      <w:r w:rsidR="00E90075" w:rsidRPr="00F54941">
        <w:t>-</w:t>
      </w:r>
      <w:r w:rsidR="00A07139" w:rsidRPr="00F54941">
        <w:t>page Executive Summary highlights the key findings of our analysis</w:t>
      </w:r>
      <w:r w:rsidR="00294573">
        <w:t xml:space="preserve"> and</w:t>
      </w:r>
      <w:r w:rsidR="00A07139" w:rsidRPr="00F54941">
        <w:t xml:space="preserve"> is followed by a 10</w:t>
      </w:r>
      <w:r w:rsidR="00E90075" w:rsidRPr="00F54941">
        <w:t>-</w:t>
      </w:r>
      <w:r w:rsidR="00A07139" w:rsidRPr="00F54941">
        <w:t>page analysis with more details from our work.</w:t>
      </w:r>
    </w:p>
    <w:p w14:paraId="7CD571BC" w14:textId="4FB8D774" w:rsidR="006955E5" w:rsidRPr="00F54941" w:rsidRDefault="00A07139" w:rsidP="00EB4097">
      <w:pPr>
        <w:jc w:val="both"/>
      </w:pPr>
      <w:r w:rsidRPr="00F54941">
        <w:t xml:space="preserve">The most </w:t>
      </w:r>
      <w:r w:rsidR="00A30529" w:rsidRPr="00F54941">
        <w:t>substantial</w:t>
      </w:r>
      <w:r w:rsidRPr="00F54941">
        <w:t xml:space="preserve"> problem uncovered </w:t>
      </w:r>
      <w:r w:rsidR="00E649FF">
        <w:t>was</w:t>
      </w:r>
      <w:r w:rsidRPr="00F54941">
        <w:t xml:space="preserve"> </w:t>
      </w:r>
      <w:r w:rsidR="00A30529">
        <w:t xml:space="preserve">the </w:t>
      </w:r>
      <w:r w:rsidR="004F70BF">
        <w:t xml:space="preserve">vague or </w:t>
      </w:r>
      <w:r w:rsidRPr="00F54941">
        <w:t>unknown categorization</w:t>
      </w:r>
      <w:r w:rsidR="00E649FF">
        <w:t>s</w:t>
      </w:r>
      <w:r w:rsidR="00A30529">
        <w:t xml:space="preserve"> found in 5 </w:t>
      </w:r>
      <w:r w:rsidR="005E3510">
        <w:t>columns</w:t>
      </w:r>
      <w:r w:rsidR="004F70BF">
        <w:t>,</w:t>
      </w:r>
      <w:r w:rsidRPr="00F54941">
        <w:t xml:space="preserve"> 71% of entries by count</w:t>
      </w:r>
      <w:r w:rsidR="004F70BF">
        <w:t>,</w:t>
      </w:r>
      <w:r w:rsidRPr="00F54941">
        <w:t xml:space="preserve"> and 42% </w:t>
      </w:r>
      <w:r w:rsidR="004F70BF">
        <w:t xml:space="preserve">of entries </w:t>
      </w:r>
      <w:r w:rsidRPr="00F54941">
        <w:t>by amount.  Simply discarding</w:t>
      </w:r>
      <w:r w:rsidR="007C1C18">
        <w:t xml:space="preserve"> or ignoring</w:t>
      </w:r>
      <w:r w:rsidRPr="00F54941">
        <w:t xml:space="preserve"> this much data is </w:t>
      </w:r>
      <w:r w:rsidR="007C1C18">
        <w:t>in</w:t>
      </w:r>
      <w:r w:rsidRPr="00F54941">
        <w:t>feasible.</w:t>
      </w:r>
      <w:r w:rsidR="00E90075" w:rsidRPr="00F54941">
        <w:t xml:space="preserve"> </w:t>
      </w:r>
      <w:r w:rsidR="004F70BF">
        <w:t>Since unknowns we</w:t>
      </w:r>
      <w:r w:rsidR="007C1C18">
        <w:t>re such</w:t>
      </w:r>
      <w:r w:rsidR="00F031E7">
        <w:t xml:space="preserve"> a significant portion of the dataset, </w:t>
      </w:r>
      <w:r w:rsidR="004F70BF">
        <w:t>missing data was</w:t>
      </w:r>
      <w:r w:rsidR="007C1C18">
        <w:t xml:space="preserve"> </w:t>
      </w:r>
      <w:r w:rsidR="00F031E7">
        <w:t>the most important problem</w:t>
      </w:r>
      <w:r w:rsidR="004F70BF">
        <w:t xml:space="preserve"> to </w:t>
      </w:r>
      <w:r w:rsidR="00F031E7">
        <w:t>address</w:t>
      </w:r>
      <w:r w:rsidR="00E649FF">
        <w:t xml:space="preserve"> in our analysis</w:t>
      </w:r>
      <w:r w:rsidR="004F70BF">
        <w:t>.</w:t>
      </w:r>
      <w:r w:rsidR="00E90075" w:rsidRPr="00F54941">
        <w:t xml:space="preserve"> More details can be found in section </w:t>
      </w:r>
      <w:r w:rsidR="00F031E7">
        <w:t>II</w:t>
      </w:r>
      <w:r w:rsidR="00F031E7" w:rsidRPr="00F54941">
        <w:t xml:space="preserve"> </w:t>
      </w:r>
      <w:r w:rsidR="00E90075" w:rsidRPr="00F54941">
        <w:t>below.</w:t>
      </w:r>
    </w:p>
    <w:p w14:paraId="237925DF" w14:textId="11A0B2DE" w:rsidR="00B964EA" w:rsidRPr="00F54941" w:rsidRDefault="00C53175" w:rsidP="00EB4097">
      <w:pPr>
        <w:jc w:val="both"/>
      </w:pPr>
      <w:r w:rsidRPr="00F54941">
        <w:t xml:space="preserve">The next problem uncovered </w:t>
      </w:r>
      <w:r w:rsidR="005E3510">
        <w:t>was</w:t>
      </w:r>
      <w:r w:rsidR="00E126C2">
        <w:t xml:space="preserve"> the </w:t>
      </w:r>
      <w:r w:rsidRPr="00F54941">
        <w:t>approximately 232,000 rows of data with zero exposure.  All but three of these entries have zero in all other exposure and death columns.  Three of these entries have values greater than zero for death amount</w:t>
      </w:r>
      <w:r w:rsidR="003978A4">
        <w:t xml:space="preserve">.  </w:t>
      </w:r>
      <w:r w:rsidR="00E126C2">
        <w:t>These are</w:t>
      </w:r>
      <w:r w:rsidR="003978A4">
        <w:t xml:space="preserve"> data gap</w:t>
      </w:r>
      <w:r w:rsidR="00E126C2">
        <w:t>s,</w:t>
      </w:r>
      <w:r w:rsidR="003978A4">
        <w:t xml:space="preserve"> and these entries have been flagged.</w:t>
      </w:r>
      <w:r w:rsidR="008616EB">
        <w:t xml:space="preserve"> </w:t>
      </w:r>
      <w:r w:rsidR="00E126C2">
        <w:t>More details can be found in section III below.</w:t>
      </w:r>
    </w:p>
    <w:p w14:paraId="79AE9720" w14:textId="30841A68" w:rsidR="008616EB" w:rsidRDefault="00B964EA" w:rsidP="00EB4097">
      <w:pPr>
        <w:jc w:val="both"/>
      </w:pPr>
      <w:r w:rsidRPr="00F54941">
        <w:t xml:space="preserve">Once </w:t>
      </w:r>
      <w:r w:rsidR="005E3510">
        <w:t>we completed a</w:t>
      </w:r>
      <w:r w:rsidRPr="00F54941">
        <w:t xml:space="preserve"> high-level overview of the dataset</w:t>
      </w:r>
      <w:r w:rsidR="00691267">
        <w:t>,</w:t>
      </w:r>
      <w:r w:rsidRPr="00F54941">
        <w:t xml:space="preserve"> </w:t>
      </w:r>
      <w:r w:rsidR="00691267">
        <w:t xml:space="preserve">we </w:t>
      </w:r>
      <w:r w:rsidRPr="00F54941">
        <w:t>look</w:t>
      </w:r>
      <w:r w:rsidR="00691267">
        <w:t>ed</w:t>
      </w:r>
      <w:r w:rsidRPr="00F54941">
        <w:t xml:space="preserve"> at trends</w:t>
      </w:r>
      <w:r w:rsidR="00691267">
        <w:t xml:space="preserve"> in both given and feature-engineered </w:t>
      </w:r>
      <w:r w:rsidR="00E649FF">
        <w:t>columns</w:t>
      </w:r>
      <w:r w:rsidRPr="00F54941">
        <w:t xml:space="preserve">.  </w:t>
      </w:r>
      <w:r w:rsidR="008616EB">
        <w:t>The primary trend</w:t>
      </w:r>
      <w:r w:rsidR="00263FFD">
        <w:t>s analyzed were</w:t>
      </w:r>
      <w:r w:rsidR="00AF091C">
        <w:t xml:space="preserve"> Actual</w:t>
      </w:r>
      <w:r w:rsidR="00CE0BD4">
        <w:t xml:space="preserve"> to</w:t>
      </w:r>
      <w:r w:rsidR="00AF091C">
        <w:t xml:space="preserve"> Expected</w:t>
      </w:r>
      <w:r w:rsidR="008616EB">
        <w:t xml:space="preserve"> </w:t>
      </w:r>
      <w:r w:rsidR="00AF091C">
        <w:t>death counts and amounts (</w:t>
      </w:r>
      <w:r w:rsidR="008616EB">
        <w:t>A/E</w:t>
      </w:r>
      <w:r w:rsidR="00AF091C">
        <w:t>)</w:t>
      </w:r>
      <w:r w:rsidR="008616EB">
        <w:t xml:space="preserve"> by duration for Term policies.  Guaranteed Periods of 10, 15, and 20 years all showed expected patterns of low A/E ratios during the term period followed by a spike in the year after the guaranteed period ends (shock mortality).  This pattern was not as clear in the 5</w:t>
      </w:r>
      <w:r w:rsidR="003978A4">
        <w:t>-</w:t>
      </w:r>
      <w:r w:rsidR="008616EB">
        <w:t>year cohort.</w:t>
      </w:r>
      <w:r w:rsidR="007B3749">
        <w:t xml:space="preserve"> More details can be found in section VI below.</w:t>
      </w:r>
    </w:p>
    <w:p w14:paraId="39E8B2E4" w14:textId="77777777" w:rsidR="008616EB" w:rsidRDefault="003978A4" w:rsidP="00EB4097">
      <w:pPr>
        <w:jc w:val="both"/>
      </w:pPr>
      <w:r>
        <w:t>Throughout the analysis, a pattern of decreasing A/E by increasing face amount was observed.  This was consistent with expectations.  Average face amount was also summarized by attained age.  It was determined that this pattern varied widely by Plan Type.  Older UL policyholders tended to have larger face amounts while younger Perm policyholders had larger face amounts.  It is recommended that further analysis is performed on these patterns to determine if this is consistent with expectations.</w:t>
      </w:r>
      <w:r w:rsidR="008616EB">
        <w:t xml:space="preserve"> </w:t>
      </w:r>
      <w:r w:rsidR="007B3749">
        <w:t>More details can be found in section VII below.</w:t>
      </w:r>
    </w:p>
    <w:p w14:paraId="2F23AFDE" w14:textId="779A4DB0" w:rsidR="00B964EA" w:rsidRPr="00F54941" w:rsidRDefault="00C53175" w:rsidP="00EB4097">
      <w:pPr>
        <w:jc w:val="both"/>
      </w:pPr>
      <w:r w:rsidRPr="00F54941">
        <w:t xml:space="preserve">The rest of this document summarizes our analysis. In addition to providing more details </w:t>
      </w:r>
      <w:r w:rsidR="007B3749">
        <w:t>about</w:t>
      </w:r>
      <w:r w:rsidR="007B3749" w:rsidRPr="00F54941">
        <w:t xml:space="preserve"> </w:t>
      </w:r>
      <w:r w:rsidR="007B3749">
        <w:t>our</w:t>
      </w:r>
      <w:r w:rsidR="007B3749" w:rsidRPr="00F54941">
        <w:t xml:space="preserve"> </w:t>
      </w:r>
      <w:r w:rsidRPr="00F54941">
        <w:t xml:space="preserve">findings mentioned above, several other insights and validations are presented.  </w:t>
      </w:r>
      <w:r w:rsidR="007B3749">
        <w:t>In</w:t>
      </w:r>
      <w:r w:rsidRPr="00F54941">
        <w:t xml:space="preserve"> the appendix, </w:t>
      </w:r>
      <w:r w:rsidR="00642DEC">
        <w:t>ASOPs, in</w:t>
      </w:r>
      <w:r w:rsidR="00C80097">
        <w:t>cluding d</w:t>
      </w:r>
      <w:r w:rsidRPr="00F54941">
        <w:t xml:space="preserve">etails </w:t>
      </w:r>
      <w:r w:rsidR="007B3749">
        <w:t xml:space="preserve">about our analytical </w:t>
      </w:r>
      <w:r w:rsidRPr="00F54941">
        <w:t>methods</w:t>
      </w:r>
      <w:r w:rsidR="00C80097">
        <w:t>,</w:t>
      </w:r>
      <w:r w:rsidRPr="00F54941">
        <w:t xml:space="preserve"> are provided with </w:t>
      </w:r>
      <w:r w:rsidR="004B1339">
        <w:t xml:space="preserve">a </w:t>
      </w:r>
      <w:r w:rsidRPr="00F54941">
        <w:t xml:space="preserve">link to </w:t>
      </w:r>
      <w:r w:rsidR="007B3749">
        <w:t>our team’s</w:t>
      </w:r>
      <w:r w:rsidR="000D5F41">
        <w:t xml:space="preserve"> GitHub</w:t>
      </w:r>
      <w:r w:rsidR="00F26D76">
        <w:t xml:space="preserve"> repository, </w:t>
      </w:r>
      <w:r w:rsidR="00F26D76" w:rsidRPr="00F26D76">
        <w:t>which contains</w:t>
      </w:r>
      <w:r w:rsidR="00F6572D">
        <w:t xml:space="preserve"> </w:t>
      </w:r>
      <w:proofErr w:type="gramStart"/>
      <w:r w:rsidR="00F6572D">
        <w:t>all of</w:t>
      </w:r>
      <w:proofErr w:type="gramEnd"/>
      <w:r w:rsidR="00F26D76" w:rsidRPr="00F26D76">
        <w:t xml:space="preserve"> our code, analytical tables, and R Shiny dashboards</w:t>
      </w:r>
      <w:r w:rsidRPr="00F54941">
        <w:t xml:space="preserve">.  </w:t>
      </w:r>
    </w:p>
    <w:p w14:paraId="071EA5BA" w14:textId="0F4FE016" w:rsidR="00E225B0" w:rsidRDefault="00092E7A">
      <w:pPr>
        <w:rPr>
          <w:rFonts w:asciiTheme="majorHAnsi" w:eastAsiaTheme="majorEastAsia" w:hAnsiTheme="majorHAnsi" w:cstheme="majorBidi"/>
          <w:b/>
          <w:bCs/>
          <w:color w:val="365F91" w:themeColor="accent1" w:themeShade="BF"/>
          <w:sz w:val="28"/>
          <w:szCs w:val="28"/>
        </w:rPr>
      </w:pPr>
      <w:bookmarkStart w:id="0" w:name="_Toc523831051"/>
      <w:bookmarkStart w:id="1" w:name="_Hlk527030263"/>
      <w:r>
        <w:rPr>
          <w:noProof/>
        </w:rPr>
        <mc:AlternateContent>
          <mc:Choice Requires="wps">
            <w:drawing>
              <wp:anchor distT="45720" distB="45720" distL="114300" distR="114300" simplePos="0" relativeHeight="251663360" behindDoc="0" locked="0" layoutInCell="1" allowOverlap="1" wp14:anchorId="3E3EA119" wp14:editId="640CFE99">
                <wp:simplePos x="0" y="0"/>
                <wp:positionH relativeFrom="margin">
                  <wp:posOffset>4076065</wp:posOffset>
                </wp:positionH>
                <wp:positionV relativeFrom="paragraph">
                  <wp:posOffset>226060</wp:posOffset>
                </wp:positionV>
                <wp:extent cx="2066925" cy="140462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rgbClr val="FFFFFF"/>
                        </a:solidFill>
                        <a:ln w="9525">
                          <a:noFill/>
                          <a:miter lim="800000"/>
                          <a:headEnd/>
                          <a:tailEnd/>
                        </a:ln>
                      </wps:spPr>
                      <wps:txbx>
                        <w:txbxContent>
                          <w:p w14:paraId="7650D85B" w14:textId="77777777" w:rsidR="008B320B" w:rsidRDefault="008B320B" w:rsidP="00642DEC">
                            <w:pPr>
                              <w:spacing w:after="0" w:line="240" w:lineRule="auto"/>
                              <w:rPr>
                                <w:b/>
                                <w:color w:val="244061" w:themeColor="accent1" w:themeShade="80"/>
                              </w:rPr>
                            </w:pPr>
                          </w:p>
                          <w:p w14:paraId="16891472" w14:textId="77777777" w:rsidR="008B320B" w:rsidRDefault="008B320B" w:rsidP="00642DEC">
                            <w:pPr>
                              <w:spacing w:after="0" w:line="240" w:lineRule="auto"/>
                              <w:rPr>
                                <w:b/>
                                <w:color w:val="244061" w:themeColor="accent1" w:themeShade="80"/>
                              </w:rPr>
                            </w:pPr>
                          </w:p>
                          <w:p w14:paraId="23E216C8" w14:textId="77777777" w:rsidR="008B320B" w:rsidRDefault="008B320B" w:rsidP="00642DEC">
                            <w:pPr>
                              <w:spacing w:after="0" w:line="240" w:lineRule="auto"/>
                            </w:pPr>
                            <w:r>
                              <w:t>Simon Hua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3EA119" id="_x0000_t202" coordsize="21600,21600" o:spt="202" path="m,l,21600r21600,l21600,xe">
                <v:stroke joinstyle="miter"/>
                <v:path gradientshapeok="t" o:connecttype="rect"/>
              </v:shapetype>
              <v:shape id="Text Box 2" o:spid="_x0000_s1026" type="#_x0000_t202" style="position:absolute;margin-left:320.95pt;margin-top:17.8pt;width:162.7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" stroked="f">
                <v:textbox style="mso-fit-shape-to-text:t">
                  <w:txbxContent>
                    <w:p w14:paraId="7650D85B" w14:textId="77777777" w:rsidR="008B320B" w:rsidRDefault="008B320B" w:rsidP="00642DEC">
                      <w:pPr>
                        <w:spacing w:after="0" w:line="240" w:lineRule="auto"/>
                        <w:rPr>
                          <w:b/>
                          <w:color w:val="244061" w:themeColor="accent1" w:themeShade="80"/>
                        </w:rPr>
                      </w:pPr>
                    </w:p>
                    <w:p w14:paraId="16891472" w14:textId="77777777" w:rsidR="008B320B" w:rsidRDefault="008B320B" w:rsidP="00642DEC">
                      <w:pPr>
                        <w:spacing w:after="0" w:line="240" w:lineRule="auto"/>
                        <w:rPr>
                          <w:b/>
                          <w:color w:val="244061" w:themeColor="accent1" w:themeShade="80"/>
                        </w:rPr>
                      </w:pPr>
                    </w:p>
                    <w:p w14:paraId="23E216C8" w14:textId="77777777" w:rsidR="008B320B" w:rsidRDefault="008B320B" w:rsidP="00642DEC">
                      <w:pPr>
                        <w:spacing w:after="0" w:line="240" w:lineRule="auto"/>
                      </w:pPr>
                      <w:r>
                        <w:t>Simon Hua</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2E74D443" wp14:editId="4D1252C5">
                <wp:simplePos x="0" y="0"/>
                <wp:positionH relativeFrom="margin">
                  <wp:posOffset>1885315</wp:posOffset>
                </wp:positionH>
                <wp:positionV relativeFrom="paragraph">
                  <wp:posOffset>229870</wp:posOffset>
                </wp:positionV>
                <wp:extent cx="20669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4620"/>
                        </a:xfrm>
                        <a:prstGeom prst="rect">
                          <a:avLst/>
                        </a:prstGeom>
                        <a:solidFill>
                          <a:srgbClr val="FFFFFF"/>
                        </a:solidFill>
                        <a:ln w="9525">
                          <a:noFill/>
                          <a:miter lim="800000"/>
                          <a:headEnd/>
                          <a:tailEnd/>
                        </a:ln>
                      </wps:spPr>
                      <wps:txbx>
                        <w:txbxContent>
                          <w:p w14:paraId="2B9C72EA" w14:textId="77777777" w:rsidR="008B320B" w:rsidRDefault="008B320B" w:rsidP="00642DEC">
                            <w:pPr>
                              <w:spacing w:after="0" w:line="240" w:lineRule="auto"/>
                              <w:rPr>
                                <w:b/>
                                <w:color w:val="244061" w:themeColor="accent1" w:themeShade="80"/>
                              </w:rPr>
                            </w:pPr>
                          </w:p>
                          <w:p w14:paraId="2BF14FD4" w14:textId="77777777" w:rsidR="008B320B" w:rsidRDefault="008B320B" w:rsidP="00642DEC">
                            <w:pPr>
                              <w:spacing w:after="0" w:line="240" w:lineRule="auto"/>
                              <w:rPr>
                                <w:b/>
                                <w:color w:val="244061" w:themeColor="accent1" w:themeShade="80"/>
                              </w:rPr>
                            </w:pPr>
                          </w:p>
                          <w:p w14:paraId="6390432B" w14:textId="77777777" w:rsidR="008B320B" w:rsidRDefault="008B320B" w:rsidP="00642DEC">
                            <w:pPr>
                              <w:spacing w:after="0" w:line="240" w:lineRule="auto"/>
                            </w:pPr>
                            <w:r>
                              <w:t>Alyssa Columbus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74D443" id="_x0000_s1027" type="#_x0000_t202" style="position:absolute;margin-left:148.45pt;margin-top:18.1pt;width:162.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" stroked="f">
                <v:textbox style="mso-fit-shape-to-text:t">
                  <w:txbxContent>
                    <w:p w14:paraId="2B9C72EA" w14:textId="77777777" w:rsidR="008B320B" w:rsidRDefault="008B320B" w:rsidP="00642DEC">
                      <w:pPr>
                        <w:spacing w:after="0" w:line="240" w:lineRule="auto"/>
                        <w:rPr>
                          <w:b/>
                          <w:color w:val="244061" w:themeColor="accent1" w:themeShade="80"/>
                        </w:rPr>
                      </w:pPr>
                    </w:p>
                    <w:p w14:paraId="2BF14FD4" w14:textId="77777777" w:rsidR="008B320B" w:rsidRDefault="008B320B" w:rsidP="00642DEC">
                      <w:pPr>
                        <w:spacing w:after="0" w:line="240" w:lineRule="auto"/>
                        <w:rPr>
                          <w:b/>
                          <w:color w:val="244061" w:themeColor="accent1" w:themeShade="80"/>
                        </w:rPr>
                      </w:pPr>
                    </w:p>
                    <w:p w14:paraId="6390432B" w14:textId="77777777" w:rsidR="008B320B" w:rsidRDefault="008B320B" w:rsidP="00642DEC">
                      <w:pPr>
                        <w:spacing w:after="0" w:line="240" w:lineRule="auto"/>
                      </w:pPr>
                      <w:r>
                        <w:t>Alyssa Columbus</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7B911CBF" wp14:editId="06545E46">
                <wp:simplePos x="0" y="0"/>
                <wp:positionH relativeFrom="margin">
                  <wp:posOffset>0</wp:posOffset>
                </wp:positionH>
                <wp:positionV relativeFrom="paragraph">
                  <wp:posOffset>187960</wp:posOffset>
                </wp:positionV>
                <wp:extent cx="18669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solidFill>
                          <a:srgbClr val="FFFFFF"/>
                        </a:solidFill>
                        <a:ln w="9525">
                          <a:noFill/>
                          <a:miter lim="800000"/>
                          <a:headEnd/>
                          <a:tailEnd/>
                        </a:ln>
                      </wps:spPr>
                      <wps:txbx>
                        <w:txbxContent>
                          <w:p w14:paraId="62A8517E" w14:textId="77777777" w:rsidR="008B320B" w:rsidRPr="00092E7A" w:rsidRDefault="008B320B" w:rsidP="00642DEC">
                            <w:pPr>
                              <w:spacing w:after="0" w:line="240" w:lineRule="auto"/>
                              <w:rPr>
                                <w:rFonts w:asciiTheme="majorHAnsi" w:hAnsiTheme="majorHAnsi"/>
                                <w:b/>
                                <w:color w:val="365F91" w:themeColor="accent1" w:themeShade="BF"/>
                                <w:sz w:val="28"/>
                              </w:rPr>
                            </w:pPr>
                            <w:r w:rsidRPr="00092E7A">
                              <w:rPr>
                                <w:rFonts w:asciiTheme="majorHAnsi" w:hAnsiTheme="majorHAnsi"/>
                                <w:b/>
                                <w:color w:val="365F91" w:themeColor="accent1" w:themeShade="BF"/>
                                <w:sz w:val="28"/>
                              </w:rPr>
                              <w:t>Team Pacific Life</w:t>
                            </w:r>
                          </w:p>
                          <w:p w14:paraId="6E4B3BCB" w14:textId="77777777" w:rsidR="008B320B" w:rsidRDefault="008B320B" w:rsidP="00642DEC">
                            <w:pPr>
                              <w:spacing w:after="0" w:line="240" w:lineRule="auto"/>
                              <w:rPr>
                                <w:b/>
                                <w:color w:val="244061" w:themeColor="accent1" w:themeShade="80"/>
                              </w:rPr>
                            </w:pPr>
                          </w:p>
                          <w:p w14:paraId="5741BF99" w14:textId="537F71AF" w:rsidR="008B320B" w:rsidRDefault="008B320B" w:rsidP="00642DEC">
                            <w:pPr>
                              <w:spacing w:after="0" w:line="240" w:lineRule="auto"/>
                            </w:pPr>
                            <w:r>
                              <w:t>Tommy Steed, FSA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911CBF" id="_x0000_s1028" type="#_x0000_t202" style="position:absolute;margin-left:0;margin-top:14.8pt;width:14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" stroked="f">
                <v:textbox style="mso-fit-shape-to-text:t">
                  <w:txbxContent>
                    <w:p w14:paraId="62A8517E" w14:textId="77777777" w:rsidR="008B320B" w:rsidRPr="00092E7A" w:rsidRDefault="008B320B" w:rsidP="00642DEC">
                      <w:pPr>
                        <w:spacing w:after="0" w:line="240" w:lineRule="auto"/>
                        <w:rPr>
                          <w:rFonts w:asciiTheme="majorHAnsi" w:hAnsiTheme="majorHAnsi"/>
                          <w:b/>
                          <w:color w:val="365F91" w:themeColor="accent1" w:themeShade="BF"/>
                          <w:sz w:val="28"/>
                        </w:rPr>
                      </w:pPr>
                      <w:r w:rsidRPr="00092E7A">
                        <w:rPr>
                          <w:rFonts w:asciiTheme="majorHAnsi" w:hAnsiTheme="majorHAnsi"/>
                          <w:b/>
                          <w:color w:val="365F91" w:themeColor="accent1" w:themeShade="BF"/>
                          <w:sz w:val="28"/>
                        </w:rPr>
                        <w:t>Team Pacific Life</w:t>
                      </w:r>
                    </w:p>
                    <w:p w14:paraId="6E4B3BCB" w14:textId="77777777" w:rsidR="008B320B" w:rsidRDefault="008B320B" w:rsidP="00642DEC">
                      <w:pPr>
                        <w:spacing w:after="0" w:line="240" w:lineRule="auto"/>
                        <w:rPr>
                          <w:b/>
                          <w:color w:val="244061" w:themeColor="accent1" w:themeShade="80"/>
                        </w:rPr>
                      </w:pPr>
                    </w:p>
                    <w:p w14:paraId="5741BF99" w14:textId="537F71AF" w:rsidR="008B320B" w:rsidRDefault="008B320B" w:rsidP="00642DEC">
                      <w:pPr>
                        <w:spacing w:after="0" w:line="240" w:lineRule="auto"/>
                      </w:pPr>
                      <w:r>
                        <w:t>Tommy Steed, FSA</w:t>
                      </w:r>
                    </w:p>
                  </w:txbxContent>
                </v:textbox>
                <w10:wrap type="square" anchorx="margin"/>
              </v:shape>
            </w:pict>
          </mc:Fallback>
        </mc:AlternateContent>
      </w:r>
      <w:r w:rsidR="00E225B0">
        <w:br w:type="page"/>
      </w:r>
    </w:p>
    <w:p w14:paraId="3DC88E63" w14:textId="77777777" w:rsidR="00F54941" w:rsidRDefault="00F54941" w:rsidP="00F54941">
      <w:pPr>
        <w:pStyle w:val="Heading1"/>
      </w:pPr>
      <w:r>
        <w:lastRenderedPageBreak/>
        <w:t>Section II</w:t>
      </w:r>
      <w:r w:rsidRPr="00275E5C">
        <w:t xml:space="preserve">: </w:t>
      </w:r>
      <w:r>
        <w:t>Unknown Categories</w:t>
      </w:r>
    </w:p>
    <w:p w14:paraId="14AA2B36" w14:textId="5E6F890B" w:rsidR="003B0EB0" w:rsidRPr="00B0050D" w:rsidRDefault="003B0EB0" w:rsidP="00783EB0">
      <w:pPr>
        <w:spacing w:after="0"/>
        <w:jc w:val="both"/>
      </w:pPr>
      <w:r>
        <w:t xml:space="preserve">As discussed in the Executive Summary, </w:t>
      </w:r>
      <w:r w:rsidR="00650EF9">
        <w:t xml:space="preserve">five columns </w:t>
      </w:r>
      <w:r>
        <w:t>have</w:t>
      </w:r>
      <w:r w:rsidR="00F54941">
        <w:t xml:space="preserve"> vague category options such as “Unknown” or “Other</w:t>
      </w:r>
      <w:r w:rsidR="000D5F41">
        <w:t>” or have</w:t>
      </w:r>
      <w:r w:rsidR="00F54941">
        <w:t xml:space="preserve"> data points entered as “NA”.  </w:t>
      </w:r>
      <w:r w:rsidR="000772A3">
        <w:t>The five columns affected are</w:t>
      </w:r>
      <w:r>
        <w:t xml:space="preserve"> summarized in </w:t>
      </w:r>
      <w:r w:rsidR="00065356">
        <w:t>Figure</w:t>
      </w:r>
      <w:r>
        <w:t xml:space="preserve"> </w:t>
      </w:r>
      <w:r w:rsidR="00C433B0">
        <w:t>1</w:t>
      </w:r>
      <w:r>
        <w:t>.</w:t>
      </w:r>
    </w:p>
    <w:tbl>
      <w:tblPr>
        <w:tblStyle w:val="TableGrid"/>
        <w:tblW w:w="11138" w:type="dxa"/>
        <w:tblLook w:val="04A0" w:firstRow="1" w:lastRow="0" w:firstColumn="1" w:lastColumn="0" w:noHBand="0" w:noVBand="1"/>
      </w:tblPr>
      <w:tblGrid>
        <w:gridCol w:w="3045"/>
        <w:gridCol w:w="2697"/>
        <w:gridCol w:w="2698"/>
        <w:gridCol w:w="2698"/>
      </w:tblGrid>
      <w:tr w:rsidR="00186183" w14:paraId="6860BF5F" w14:textId="77777777" w:rsidTr="00E04235">
        <w:tc>
          <w:tcPr>
            <w:tcW w:w="3045" w:type="dxa"/>
          </w:tcPr>
          <w:p w14:paraId="6E88A39C" w14:textId="0CAF2CAB" w:rsidR="00186183" w:rsidRPr="00186183" w:rsidRDefault="00186183" w:rsidP="00F54941">
            <w:pPr>
              <w:jc w:val="center"/>
              <w:rPr>
                <w:b/>
              </w:rPr>
            </w:pPr>
            <w:r w:rsidRPr="00186183">
              <w:rPr>
                <w:b/>
              </w:rPr>
              <w:t>CATEGORY</w:t>
            </w:r>
          </w:p>
        </w:tc>
        <w:tc>
          <w:tcPr>
            <w:tcW w:w="2697" w:type="dxa"/>
          </w:tcPr>
          <w:p w14:paraId="0AF99074" w14:textId="45E10071" w:rsidR="00186183" w:rsidRPr="00186183" w:rsidRDefault="00186183" w:rsidP="00F54941">
            <w:pPr>
              <w:jc w:val="center"/>
              <w:rPr>
                <w:b/>
              </w:rPr>
            </w:pPr>
            <w:r w:rsidRPr="00186183">
              <w:rPr>
                <w:b/>
              </w:rPr>
              <w:t>COUNT</w:t>
            </w:r>
          </w:p>
        </w:tc>
        <w:tc>
          <w:tcPr>
            <w:tcW w:w="2698" w:type="dxa"/>
          </w:tcPr>
          <w:p w14:paraId="232773B4" w14:textId="6ACF9B51" w:rsidR="00186183" w:rsidRPr="00186183" w:rsidRDefault="00186183" w:rsidP="00F54941">
            <w:pPr>
              <w:jc w:val="center"/>
              <w:rPr>
                <w:b/>
              </w:rPr>
            </w:pPr>
            <w:r w:rsidRPr="00186183">
              <w:rPr>
                <w:b/>
              </w:rPr>
              <w:t>% BY COUNT</w:t>
            </w:r>
          </w:p>
        </w:tc>
        <w:tc>
          <w:tcPr>
            <w:tcW w:w="2698" w:type="dxa"/>
          </w:tcPr>
          <w:p w14:paraId="3B8E97C2" w14:textId="04675C3B" w:rsidR="00186183" w:rsidRPr="00186183" w:rsidRDefault="00186183" w:rsidP="00F54941">
            <w:pPr>
              <w:jc w:val="center"/>
              <w:rPr>
                <w:b/>
              </w:rPr>
            </w:pPr>
            <w:r w:rsidRPr="00186183">
              <w:rPr>
                <w:b/>
              </w:rPr>
              <w:t>% BY AMOUNT</w:t>
            </w:r>
          </w:p>
        </w:tc>
      </w:tr>
      <w:tr w:rsidR="00186183" w14:paraId="210A42EA" w14:textId="77777777" w:rsidTr="00E04235">
        <w:tc>
          <w:tcPr>
            <w:tcW w:w="3045" w:type="dxa"/>
          </w:tcPr>
          <w:p w14:paraId="629A8DCE" w14:textId="450F62F4" w:rsidR="00186183" w:rsidRPr="003B4572" w:rsidRDefault="00186183" w:rsidP="00F54941">
            <w:pPr>
              <w:jc w:val="center"/>
            </w:pPr>
            <w:r w:rsidRPr="003B4572">
              <w:t>Anticipated Class “Unknown”</w:t>
            </w:r>
          </w:p>
        </w:tc>
        <w:tc>
          <w:tcPr>
            <w:tcW w:w="2697" w:type="dxa"/>
          </w:tcPr>
          <w:p w14:paraId="5E3F000F" w14:textId="04174F1E" w:rsidR="00186183" w:rsidRDefault="00DF78C3" w:rsidP="00F54941">
            <w:pPr>
              <w:jc w:val="center"/>
            </w:pPr>
            <w:r w:rsidRPr="00DF78C3">
              <w:t>5</w:t>
            </w:r>
            <w:r>
              <w:t>,</w:t>
            </w:r>
            <w:r w:rsidRPr="00DF78C3">
              <w:t>655</w:t>
            </w:r>
            <w:r>
              <w:t>,</w:t>
            </w:r>
            <w:r w:rsidRPr="00DF78C3">
              <w:t>138</w:t>
            </w:r>
          </w:p>
        </w:tc>
        <w:tc>
          <w:tcPr>
            <w:tcW w:w="2698" w:type="dxa"/>
          </w:tcPr>
          <w:p w14:paraId="31F232B1" w14:textId="1439C9DF" w:rsidR="00186183" w:rsidRDefault="00DF78C3" w:rsidP="00F54941">
            <w:pPr>
              <w:jc w:val="center"/>
            </w:pPr>
            <w:r>
              <w:t>41.4</w:t>
            </w:r>
          </w:p>
        </w:tc>
        <w:tc>
          <w:tcPr>
            <w:tcW w:w="2698" w:type="dxa"/>
          </w:tcPr>
          <w:p w14:paraId="338F71B7" w14:textId="23BD0333" w:rsidR="00186183" w:rsidRDefault="00DF78C3" w:rsidP="00F54941">
            <w:pPr>
              <w:jc w:val="center"/>
            </w:pPr>
            <w:r>
              <w:t>37.7</w:t>
            </w:r>
          </w:p>
        </w:tc>
      </w:tr>
      <w:tr w:rsidR="00186183" w14:paraId="0D5C1369" w14:textId="77777777" w:rsidTr="00E04235">
        <w:tc>
          <w:tcPr>
            <w:tcW w:w="3045" w:type="dxa"/>
          </w:tcPr>
          <w:p w14:paraId="21B5BEC9" w14:textId="737B4DCC" w:rsidR="00186183" w:rsidRPr="003B4572" w:rsidRDefault="00186183" w:rsidP="00F54941">
            <w:pPr>
              <w:jc w:val="center"/>
            </w:pPr>
            <w:r w:rsidRPr="003B4572">
              <w:t>Preferred Class “NA”</w:t>
            </w:r>
          </w:p>
        </w:tc>
        <w:tc>
          <w:tcPr>
            <w:tcW w:w="2697" w:type="dxa"/>
          </w:tcPr>
          <w:p w14:paraId="5464EC33" w14:textId="7A765C3C" w:rsidR="00186183" w:rsidRDefault="00DF78C3" w:rsidP="00F54941">
            <w:pPr>
              <w:jc w:val="center"/>
            </w:pPr>
            <w:r w:rsidRPr="00DF78C3">
              <w:t>11</w:t>
            </w:r>
            <w:r>
              <w:t>,</w:t>
            </w:r>
            <w:r w:rsidRPr="00DF78C3">
              <w:t>069</w:t>
            </w:r>
            <w:r>
              <w:t>,</w:t>
            </w:r>
            <w:r w:rsidRPr="00DF78C3">
              <w:t>266</w:t>
            </w:r>
          </w:p>
        </w:tc>
        <w:tc>
          <w:tcPr>
            <w:tcW w:w="2698" w:type="dxa"/>
          </w:tcPr>
          <w:p w14:paraId="3EC64FCC" w14:textId="41C7F02C" w:rsidR="00186183" w:rsidRDefault="00DF78C3" w:rsidP="00F54941">
            <w:pPr>
              <w:jc w:val="center"/>
            </w:pPr>
            <w:r>
              <w:t>60.7</w:t>
            </w:r>
          </w:p>
        </w:tc>
        <w:tc>
          <w:tcPr>
            <w:tcW w:w="2698" w:type="dxa"/>
          </w:tcPr>
          <w:p w14:paraId="58F014D5" w14:textId="212D386E" w:rsidR="00186183" w:rsidRDefault="00DF78C3" w:rsidP="00F54941">
            <w:pPr>
              <w:jc w:val="center"/>
            </w:pPr>
            <w:r>
              <w:t>20.4</w:t>
            </w:r>
          </w:p>
        </w:tc>
      </w:tr>
      <w:tr w:rsidR="00186183" w14:paraId="44B92933" w14:textId="77777777" w:rsidTr="00E04235">
        <w:tc>
          <w:tcPr>
            <w:tcW w:w="3045" w:type="dxa"/>
          </w:tcPr>
          <w:p w14:paraId="2061696E" w14:textId="6193124B" w:rsidR="00186183" w:rsidRPr="003B4572" w:rsidRDefault="00186183" w:rsidP="00F54941">
            <w:pPr>
              <w:jc w:val="center"/>
            </w:pPr>
            <w:r w:rsidRPr="003B4572">
              <w:t>Guaranteed Class “Unknown”</w:t>
            </w:r>
          </w:p>
        </w:tc>
        <w:tc>
          <w:tcPr>
            <w:tcW w:w="2697" w:type="dxa"/>
          </w:tcPr>
          <w:p w14:paraId="541662F9" w14:textId="49DE61BE" w:rsidR="00186183" w:rsidRDefault="00F23624" w:rsidP="00F54941">
            <w:pPr>
              <w:jc w:val="center"/>
            </w:pPr>
            <w:r w:rsidRPr="00F23624">
              <w:t>2</w:t>
            </w:r>
            <w:r>
              <w:t>,</w:t>
            </w:r>
            <w:r w:rsidRPr="00F23624">
              <w:t>079</w:t>
            </w:r>
            <w:r>
              <w:t>,</w:t>
            </w:r>
            <w:r w:rsidRPr="00F23624">
              <w:t>337</w:t>
            </w:r>
          </w:p>
        </w:tc>
        <w:tc>
          <w:tcPr>
            <w:tcW w:w="2698" w:type="dxa"/>
          </w:tcPr>
          <w:p w14:paraId="79DFC544" w14:textId="2DD19913" w:rsidR="00186183" w:rsidRDefault="00DF78C3" w:rsidP="00F54941">
            <w:pPr>
              <w:jc w:val="center"/>
            </w:pPr>
            <w:r>
              <w:t>12.7</w:t>
            </w:r>
          </w:p>
        </w:tc>
        <w:tc>
          <w:tcPr>
            <w:tcW w:w="2698" w:type="dxa"/>
          </w:tcPr>
          <w:p w14:paraId="189FC79A" w14:textId="3CF47780" w:rsidR="00186183" w:rsidRDefault="00DF78C3" w:rsidP="00F54941">
            <w:pPr>
              <w:jc w:val="center"/>
            </w:pPr>
            <w:r>
              <w:t>10.1</w:t>
            </w:r>
          </w:p>
        </w:tc>
      </w:tr>
      <w:tr w:rsidR="00186183" w14:paraId="5110C69F" w14:textId="77777777" w:rsidTr="00E04235">
        <w:tc>
          <w:tcPr>
            <w:tcW w:w="3045" w:type="dxa"/>
          </w:tcPr>
          <w:p w14:paraId="0E6E6398" w14:textId="7A069F18" w:rsidR="00186183" w:rsidRPr="003B4572" w:rsidRDefault="00186183" w:rsidP="00F54941">
            <w:pPr>
              <w:jc w:val="center"/>
            </w:pPr>
            <w:r w:rsidRPr="003B4572">
              <w:t>Smoker Type “Unknown”</w:t>
            </w:r>
          </w:p>
        </w:tc>
        <w:tc>
          <w:tcPr>
            <w:tcW w:w="2697" w:type="dxa"/>
          </w:tcPr>
          <w:p w14:paraId="3BEF7E6F" w14:textId="7B0B962E" w:rsidR="00186183" w:rsidRDefault="00DF78C3" w:rsidP="00F54941">
            <w:pPr>
              <w:jc w:val="center"/>
            </w:pPr>
            <w:r w:rsidRPr="00DF78C3">
              <w:t>2</w:t>
            </w:r>
            <w:r>
              <w:t>,</w:t>
            </w:r>
            <w:r w:rsidRPr="00DF78C3">
              <w:t>720</w:t>
            </w:r>
            <w:r>
              <w:t>,</w:t>
            </w:r>
            <w:r w:rsidRPr="00DF78C3">
              <w:t>328</w:t>
            </w:r>
          </w:p>
        </w:tc>
        <w:tc>
          <w:tcPr>
            <w:tcW w:w="2698" w:type="dxa"/>
          </w:tcPr>
          <w:p w14:paraId="6DD23559" w14:textId="014C681A" w:rsidR="00186183" w:rsidRDefault="00DF78C3" w:rsidP="00F54941">
            <w:pPr>
              <w:jc w:val="center"/>
            </w:pPr>
            <w:r>
              <w:t>29.3</w:t>
            </w:r>
          </w:p>
        </w:tc>
        <w:tc>
          <w:tcPr>
            <w:tcW w:w="2698" w:type="dxa"/>
          </w:tcPr>
          <w:p w14:paraId="34558D0C" w14:textId="31EA4FEB" w:rsidR="00186183" w:rsidRDefault="00DF78C3" w:rsidP="00F54941">
            <w:pPr>
              <w:jc w:val="center"/>
            </w:pPr>
            <w:r>
              <w:t>3.6</w:t>
            </w:r>
          </w:p>
        </w:tc>
      </w:tr>
      <w:tr w:rsidR="00186183" w14:paraId="328851E8" w14:textId="77777777" w:rsidTr="00E04235">
        <w:tc>
          <w:tcPr>
            <w:tcW w:w="3045" w:type="dxa"/>
          </w:tcPr>
          <w:p w14:paraId="0BA0A39F" w14:textId="2291B7B2" w:rsidR="00186183" w:rsidRPr="003B4572" w:rsidRDefault="00186183" w:rsidP="00F54941">
            <w:pPr>
              <w:jc w:val="center"/>
            </w:pPr>
            <w:r w:rsidRPr="003B4572">
              <w:t>Plan Type “Other”</w:t>
            </w:r>
          </w:p>
        </w:tc>
        <w:tc>
          <w:tcPr>
            <w:tcW w:w="2697" w:type="dxa"/>
          </w:tcPr>
          <w:p w14:paraId="2CB1C6C8" w14:textId="5E2F5B02" w:rsidR="00186183" w:rsidRDefault="00C64276" w:rsidP="00F54941">
            <w:pPr>
              <w:jc w:val="center"/>
            </w:pPr>
            <w:r w:rsidRPr="00C64276">
              <w:t>236</w:t>
            </w:r>
            <w:r>
              <w:t>,</w:t>
            </w:r>
            <w:r w:rsidRPr="00C64276">
              <w:t>870</w:t>
            </w:r>
          </w:p>
        </w:tc>
        <w:tc>
          <w:tcPr>
            <w:tcW w:w="2698" w:type="dxa"/>
          </w:tcPr>
          <w:p w14:paraId="3B23AD17" w14:textId="4F09BCCF" w:rsidR="00186183" w:rsidRDefault="00DF78C3" w:rsidP="00F54941">
            <w:pPr>
              <w:jc w:val="center"/>
            </w:pPr>
            <w:r>
              <w:t>0.1</w:t>
            </w:r>
          </w:p>
        </w:tc>
        <w:tc>
          <w:tcPr>
            <w:tcW w:w="2698" w:type="dxa"/>
          </w:tcPr>
          <w:p w14:paraId="62B41B4D" w14:textId="17D8A7E4" w:rsidR="00186183" w:rsidRDefault="00DF78C3" w:rsidP="00F54941">
            <w:pPr>
              <w:jc w:val="center"/>
            </w:pPr>
            <w:r>
              <w:t>0.2</w:t>
            </w:r>
          </w:p>
        </w:tc>
      </w:tr>
      <w:tr w:rsidR="00186183" w14:paraId="61EA35BD" w14:textId="77777777" w:rsidTr="00E04235">
        <w:tc>
          <w:tcPr>
            <w:tcW w:w="3045" w:type="dxa"/>
          </w:tcPr>
          <w:p w14:paraId="32BB1191" w14:textId="788B070A" w:rsidR="00186183" w:rsidRPr="00E04235" w:rsidRDefault="00186183" w:rsidP="00F54941">
            <w:pPr>
              <w:jc w:val="center"/>
              <w:rPr>
                <w:b/>
              </w:rPr>
            </w:pPr>
            <w:r w:rsidRPr="00E04235">
              <w:rPr>
                <w:b/>
              </w:rPr>
              <w:t>TOTAL</w:t>
            </w:r>
          </w:p>
        </w:tc>
        <w:tc>
          <w:tcPr>
            <w:tcW w:w="2697" w:type="dxa"/>
          </w:tcPr>
          <w:p w14:paraId="4D9DAAD0" w14:textId="3815ED10" w:rsidR="00186183" w:rsidRPr="00186183" w:rsidRDefault="002510E8" w:rsidP="00F54941">
            <w:pPr>
              <w:jc w:val="center"/>
              <w:rPr>
                <w:b/>
              </w:rPr>
            </w:pPr>
            <w:r>
              <w:rPr>
                <w:b/>
              </w:rPr>
              <w:t>21,760,939</w:t>
            </w:r>
          </w:p>
        </w:tc>
        <w:tc>
          <w:tcPr>
            <w:tcW w:w="2698" w:type="dxa"/>
          </w:tcPr>
          <w:p w14:paraId="34AEBDD0" w14:textId="3A48B09F" w:rsidR="00186183" w:rsidRPr="00186183" w:rsidRDefault="00DF78C3" w:rsidP="00F54941">
            <w:pPr>
              <w:jc w:val="center"/>
              <w:rPr>
                <w:b/>
              </w:rPr>
            </w:pPr>
            <w:r>
              <w:rPr>
                <w:b/>
              </w:rPr>
              <w:t>70.7</w:t>
            </w:r>
          </w:p>
        </w:tc>
        <w:tc>
          <w:tcPr>
            <w:tcW w:w="2698" w:type="dxa"/>
          </w:tcPr>
          <w:p w14:paraId="2EB49CA5" w14:textId="2278C625" w:rsidR="00186183" w:rsidRPr="00186183" w:rsidRDefault="00DF78C3" w:rsidP="00B0050D">
            <w:pPr>
              <w:keepNext/>
              <w:jc w:val="center"/>
              <w:rPr>
                <w:b/>
              </w:rPr>
            </w:pPr>
            <w:r>
              <w:rPr>
                <w:b/>
              </w:rPr>
              <w:t>42.2</w:t>
            </w:r>
          </w:p>
        </w:tc>
      </w:tr>
    </w:tbl>
    <w:p w14:paraId="22B91FFB" w14:textId="1C2ED89D" w:rsidR="00B0050D" w:rsidRDefault="00B0050D">
      <w:pPr>
        <w:pStyle w:val="Caption"/>
      </w:pPr>
      <w:r>
        <w:t xml:space="preserve">Figure </w:t>
      </w:r>
      <w:r w:rsidR="0054611A">
        <w:fldChar w:fldCharType="begin"/>
      </w:r>
      <w:r w:rsidR="0054611A">
        <w:instrText xml:space="preserve"> SEQ Figure \* ARABIC </w:instrText>
      </w:r>
      <w:r w:rsidR="0054611A">
        <w:fldChar w:fldCharType="separate"/>
      </w:r>
      <w:r w:rsidR="00540404">
        <w:rPr>
          <w:noProof/>
        </w:rPr>
        <w:t>1</w:t>
      </w:r>
      <w:r w:rsidR="0054611A">
        <w:rPr>
          <w:noProof/>
        </w:rPr>
        <w:fldChar w:fldCharType="end"/>
      </w:r>
      <w:r>
        <w:t>: Unknown Category Summary</w:t>
      </w:r>
    </w:p>
    <w:p w14:paraId="785D096A" w14:textId="45AC1E64" w:rsidR="00F54941" w:rsidRPr="00172CC5" w:rsidRDefault="00F54941" w:rsidP="00783EB0">
      <w:pPr>
        <w:spacing w:after="0"/>
        <w:jc w:val="both"/>
      </w:pPr>
      <w:r>
        <w:t>Judgment will have t</w:t>
      </w:r>
      <w:r w:rsidR="00C94381">
        <w:t xml:space="preserve">o be used when dealing with </w:t>
      </w:r>
      <w:r w:rsidR="00F031E7">
        <w:t xml:space="preserve">this </w:t>
      </w:r>
      <w:r w:rsidR="00C94381">
        <w:t>data</w:t>
      </w:r>
      <w:r>
        <w:t xml:space="preserve">. </w:t>
      </w:r>
      <w:r w:rsidR="003B0EB0">
        <w:t xml:space="preserve"> Some factors are more significant</w:t>
      </w:r>
      <w:r>
        <w:t xml:space="preserve"> than others, </w:t>
      </w:r>
      <w:r w:rsidR="003B0EB0">
        <w:t>and that signific</w:t>
      </w:r>
      <w:r>
        <w:t>ance may vary from business question to business question.</w:t>
      </w:r>
      <w:r w:rsidR="00C94381">
        <w:t xml:space="preserve">  After accounting for overlap, 70.7% of policies by count and 42.2% of policies by amount are affected.  This is a significant portion of the dataset, which makes this the most important problem</w:t>
      </w:r>
      <w:r w:rsidR="009E0013">
        <w:t xml:space="preserve"> to </w:t>
      </w:r>
      <w:r w:rsidR="004854CE">
        <w:t>address</w:t>
      </w:r>
      <w:r w:rsidR="009E0013">
        <w:t xml:space="preserve">.  </w:t>
      </w:r>
    </w:p>
    <w:p w14:paraId="243F1534" w14:textId="77777777" w:rsidR="00F54941" w:rsidRDefault="00F54941" w:rsidP="00F54941">
      <w:pPr>
        <w:pStyle w:val="Heading1"/>
      </w:pPr>
      <w:r>
        <w:t>Section III</w:t>
      </w:r>
      <w:r w:rsidRPr="00275E5C">
        <w:t xml:space="preserve">: </w:t>
      </w:r>
      <w:r>
        <w:t>Exposure</w:t>
      </w:r>
    </w:p>
    <w:p w14:paraId="231D42BC" w14:textId="0F737C4F" w:rsidR="00F54941" w:rsidRDefault="00C94381" w:rsidP="00783EB0">
      <w:pPr>
        <w:spacing w:after="0"/>
        <w:jc w:val="both"/>
      </w:pPr>
      <w:r>
        <w:t>Looking at exposure by row reveals</w:t>
      </w:r>
      <w:r w:rsidR="00BD47B3">
        <w:t xml:space="preserve"> that 232,828 </w:t>
      </w:r>
      <w:r>
        <w:t>of the 30</w:t>
      </w:r>
      <w:r w:rsidR="00FE6694">
        <w:t xml:space="preserve"> </w:t>
      </w:r>
      <w:r>
        <w:t>mi</w:t>
      </w:r>
      <w:r w:rsidR="00BD47B3">
        <w:t>llion rows</w:t>
      </w:r>
      <w:r>
        <w:t xml:space="preserve"> have zero exposure</w:t>
      </w:r>
      <w:r w:rsidR="003218EC">
        <w:t>, or</w:t>
      </w:r>
      <w:r>
        <w:t xml:space="preserve"> </w:t>
      </w:r>
      <w:r w:rsidR="002510E8">
        <w:t>a value of zero</w:t>
      </w:r>
      <w:r>
        <w:t xml:space="preserve"> for all exposure, death, and expected death columns.  </w:t>
      </w:r>
      <w:r w:rsidR="008D5C8D">
        <w:t xml:space="preserve">Our team recommends </w:t>
      </w:r>
      <w:r>
        <w:t xml:space="preserve">that these rows </w:t>
      </w:r>
      <w:r w:rsidR="008D5C8D">
        <w:t>should be</w:t>
      </w:r>
      <w:r>
        <w:t xml:space="preserve"> deleted from the dataset before any analysis is done</w:t>
      </w:r>
      <w:r w:rsidR="00A6073E">
        <w:t xml:space="preserve">, because </w:t>
      </w:r>
      <w:r w:rsidR="008D5C8D">
        <w:t>the</w:t>
      </w:r>
      <w:r>
        <w:t xml:space="preserve"> total population impacted is very small </w:t>
      </w:r>
      <w:r w:rsidRPr="00642DEC">
        <w:t>(</w:t>
      </w:r>
      <w:r w:rsidR="008D5C8D">
        <w:t>0.76</w:t>
      </w:r>
      <w:r w:rsidRPr="00642DEC">
        <w:t>%)</w:t>
      </w:r>
      <w:r w:rsidR="00A6073E">
        <w:t xml:space="preserve"> and</w:t>
      </w:r>
      <w:r>
        <w:t xml:space="preserve"> the </w:t>
      </w:r>
      <w:proofErr w:type="gramStart"/>
      <w:r w:rsidR="00EF41F1">
        <w:t xml:space="preserve">zero </w:t>
      </w:r>
      <w:r>
        <w:t>exposure</w:t>
      </w:r>
      <w:proofErr w:type="gramEnd"/>
      <w:r>
        <w:t xml:space="preserve"> associated with these policies </w:t>
      </w:r>
      <w:r w:rsidR="002C61E1">
        <w:t>would result</w:t>
      </w:r>
      <w:r>
        <w:t xml:space="preserve"> in no change to </w:t>
      </w:r>
      <w:r w:rsidR="00CB04A8">
        <w:t xml:space="preserve">a </w:t>
      </w:r>
      <w:r w:rsidR="00474CBC">
        <w:t>study’s</w:t>
      </w:r>
      <w:r>
        <w:t xml:space="preserve"> results </w:t>
      </w:r>
      <w:r w:rsidR="002C61E1">
        <w:t>if they were taken out</w:t>
      </w:r>
      <w:r>
        <w:t xml:space="preserve">.  </w:t>
      </w:r>
      <w:r w:rsidR="00E85B0D">
        <w:t xml:space="preserve">The exceptions to this </w:t>
      </w:r>
      <w:r w:rsidR="00474CBC">
        <w:t>rule</w:t>
      </w:r>
      <w:r w:rsidR="00E85B0D">
        <w:t xml:space="preserve"> are </w:t>
      </w:r>
      <w:r w:rsidR="00EF41F1">
        <w:t>three</w:t>
      </w:r>
      <w:r>
        <w:t xml:space="preserve"> rows </w:t>
      </w:r>
      <w:r w:rsidR="00474CBC">
        <w:t>that</w:t>
      </w:r>
      <w:r>
        <w:t xml:space="preserve"> have a non-zero death amount.  Removing these policies fro</w:t>
      </w:r>
      <w:r w:rsidR="00474CBC">
        <w:t>m any study would have an impact</w:t>
      </w:r>
      <w:r w:rsidR="00F22680">
        <w:t xml:space="preserve"> on results (a</w:t>
      </w:r>
      <w:r w:rsidR="00474CBC">
        <w:t>lbeit a very small one</w:t>
      </w:r>
      <w:r w:rsidR="006D6B61">
        <w:t>), but the</w:t>
      </w:r>
      <w:r w:rsidR="001E1598">
        <w:t xml:space="preserve"> policies should still be removed due to the inconsistency between death amount and death count.  Death count is zero, which is inconsistent with a non-zero death amount.</w:t>
      </w:r>
    </w:p>
    <w:p w14:paraId="3495EDC8" w14:textId="192CCB4A" w:rsidR="00787017" w:rsidRPr="00172CC5" w:rsidRDefault="00787017" w:rsidP="00783EB0">
      <w:pPr>
        <w:spacing w:after="0"/>
        <w:jc w:val="both"/>
      </w:pPr>
      <w:r>
        <w:t xml:space="preserve">In addition, </w:t>
      </w:r>
      <w:r w:rsidR="00B62CF7">
        <w:t>42,195</w:t>
      </w:r>
      <w:r>
        <w:t xml:space="preserve"> rows were found where actual deaths exceeded exposure.</w:t>
      </w:r>
      <w:r w:rsidR="00C227A9">
        <w:t xml:space="preserve">  This analysis assumes that all exposure (from both deaths and survivors) is accounted for in the exposure column.  Under this assumption, the death total should never exceed exposure.</w:t>
      </w:r>
    </w:p>
    <w:p w14:paraId="76CFD012" w14:textId="77777777" w:rsidR="008A11BC" w:rsidRDefault="008A11BC" w:rsidP="008A11BC">
      <w:pPr>
        <w:pStyle w:val="Heading1"/>
      </w:pPr>
      <w:r>
        <w:t xml:space="preserve">Section </w:t>
      </w:r>
      <w:r w:rsidR="00E225B0">
        <w:t>I</w:t>
      </w:r>
      <w:r w:rsidR="00F54941">
        <w:t>V</w:t>
      </w:r>
      <w:r w:rsidRPr="00275E5C">
        <w:t xml:space="preserve">: </w:t>
      </w:r>
      <w:bookmarkEnd w:id="0"/>
      <w:r>
        <w:t>Plan Type</w:t>
      </w:r>
    </w:p>
    <w:p w14:paraId="13826D56" w14:textId="77777777" w:rsidR="00DA3C9C" w:rsidRDefault="00145DD4" w:rsidP="00DA3C9C">
      <w:pPr>
        <w:keepNext/>
      </w:pPr>
      <w:r w:rsidRPr="00145DD4">
        <w:rPr>
          <w:noProof/>
        </w:rPr>
        <w:drawing>
          <wp:inline distT="0" distB="0" distL="0" distR="0" wp14:anchorId="6321540D" wp14:editId="10A256DC">
            <wp:extent cx="6858000" cy="163029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630298"/>
                    </a:xfrm>
                    <a:prstGeom prst="rect">
                      <a:avLst/>
                    </a:prstGeom>
                    <a:noFill/>
                    <a:ln>
                      <a:noFill/>
                    </a:ln>
                  </pic:spPr>
                </pic:pic>
              </a:graphicData>
            </a:graphic>
          </wp:inline>
        </w:drawing>
      </w:r>
    </w:p>
    <w:p w14:paraId="2606D29C" w14:textId="61A231DF" w:rsidR="0013746A" w:rsidRDefault="00DA3C9C" w:rsidP="00DA3C9C">
      <w:pPr>
        <w:pStyle w:val="Caption"/>
        <w:rPr>
          <w:sz w:val="24"/>
          <w:szCs w:val="24"/>
        </w:rPr>
      </w:pPr>
      <w:r>
        <w:t xml:space="preserve">Figure </w:t>
      </w:r>
      <w:r w:rsidR="0054611A">
        <w:fldChar w:fldCharType="begin"/>
      </w:r>
      <w:r w:rsidR="0054611A">
        <w:instrText xml:space="preserve"> SEQ Figure \* ARABIC </w:instrText>
      </w:r>
      <w:r w:rsidR="0054611A">
        <w:fldChar w:fldCharType="separate"/>
      </w:r>
      <w:r w:rsidR="00540404">
        <w:rPr>
          <w:noProof/>
        </w:rPr>
        <w:t>2</w:t>
      </w:r>
      <w:r w:rsidR="0054611A">
        <w:rPr>
          <w:noProof/>
        </w:rPr>
        <w:fldChar w:fldCharType="end"/>
      </w:r>
      <w:r>
        <w:t>: Summary by Plan Type</w:t>
      </w:r>
    </w:p>
    <w:p w14:paraId="6ECA62DE" w14:textId="77777777" w:rsidR="00582C2F" w:rsidRDefault="00145DD4" w:rsidP="00783EB0">
      <w:pPr>
        <w:pStyle w:val="ListParagraph"/>
        <w:numPr>
          <w:ilvl w:val="0"/>
          <w:numId w:val="22"/>
        </w:numPr>
        <w:spacing w:after="0"/>
        <w:jc w:val="both"/>
        <w:rPr>
          <w:b/>
        </w:rPr>
      </w:pPr>
      <w:r w:rsidRPr="00582C2F">
        <w:rPr>
          <w:b/>
        </w:rPr>
        <w:t>Throughout this document, heatmaps are formatted so</w:t>
      </w:r>
      <w:r w:rsidR="00582C2F">
        <w:rPr>
          <w:b/>
        </w:rPr>
        <w:t xml:space="preserve"> larger values are green and smaller</w:t>
      </w:r>
      <w:r w:rsidRPr="00582C2F">
        <w:rPr>
          <w:b/>
        </w:rPr>
        <w:t xml:space="preserve"> values are red.  </w:t>
      </w:r>
    </w:p>
    <w:p w14:paraId="653FC154" w14:textId="2858360F" w:rsidR="00061B2F" w:rsidRDefault="00061B2F" w:rsidP="00783EB0">
      <w:pPr>
        <w:pStyle w:val="ListParagraph"/>
        <w:numPr>
          <w:ilvl w:val="0"/>
          <w:numId w:val="22"/>
        </w:numPr>
        <w:spacing w:after="0"/>
        <w:jc w:val="both"/>
        <w:rPr>
          <w:b/>
        </w:rPr>
      </w:pPr>
      <w:r>
        <w:rPr>
          <w:b/>
        </w:rPr>
        <w:t>#:  Indicates count</w:t>
      </w:r>
      <w:r w:rsidR="00EC5AB8">
        <w:rPr>
          <w:b/>
        </w:rPr>
        <w:t>-</w:t>
      </w:r>
      <w:r>
        <w:rPr>
          <w:b/>
        </w:rPr>
        <w:t>weighted values</w:t>
      </w:r>
    </w:p>
    <w:p w14:paraId="59E895E5" w14:textId="5B1EA23B" w:rsidR="00061B2F" w:rsidRDefault="00061B2F" w:rsidP="00783EB0">
      <w:pPr>
        <w:pStyle w:val="ListParagraph"/>
        <w:numPr>
          <w:ilvl w:val="0"/>
          <w:numId w:val="22"/>
        </w:numPr>
        <w:spacing w:after="0"/>
        <w:jc w:val="both"/>
        <w:rPr>
          <w:b/>
        </w:rPr>
      </w:pPr>
      <w:r>
        <w:rPr>
          <w:b/>
        </w:rPr>
        <w:t>$:  Indicates dollar</w:t>
      </w:r>
      <w:r w:rsidR="00EC5AB8">
        <w:rPr>
          <w:b/>
        </w:rPr>
        <w:t>-</w:t>
      </w:r>
      <w:r>
        <w:rPr>
          <w:b/>
        </w:rPr>
        <w:t>weighted values</w:t>
      </w:r>
    </w:p>
    <w:p w14:paraId="4ACB5EFD" w14:textId="352FDCB3" w:rsidR="00061B2F" w:rsidRPr="00582C2F" w:rsidRDefault="00061B2F" w:rsidP="00783EB0">
      <w:pPr>
        <w:pStyle w:val="ListParagraph"/>
        <w:numPr>
          <w:ilvl w:val="0"/>
          <w:numId w:val="22"/>
        </w:numPr>
        <w:spacing w:after="0"/>
        <w:jc w:val="both"/>
        <w:rPr>
          <w:b/>
        </w:rPr>
      </w:pPr>
      <w:r>
        <w:rPr>
          <w:b/>
        </w:rPr>
        <w:t>Δ:  Indicates count</w:t>
      </w:r>
      <w:r w:rsidR="00EC5AB8">
        <w:rPr>
          <w:b/>
        </w:rPr>
        <w:t>-</w:t>
      </w:r>
      <w:r>
        <w:rPr>
          <w:b/>
        </w:rPr>
        <w:t>weighted minus dollar</w:t>
      </w:r>
      <w:r w:rsidR="00EC5AB8">
        <w:rPr>
          <w:b/>
        </w:rPr>
        <w:t>-</w:t>
      </w:r>
      <w:r>
        <w:rPr>
          <w:b/>
        </w:rPr>
        <w:t>weighted</w:t>
      </w:r>
    </w:p>
    <w:p w14:paraId="7707DFDB" w14:textId="1662CAA0" w:rsidR="0065116F" w:rsidRDefault="0065116F" w:rsidP="00783EB0">
      <w:pPr>
        <w:spacing w:after="0"/>
        <w:jc w:val="both"/>
      </w:pPr>
      <w:r>
        <w:lastRenderedPageBreak/>
        <w:t>80% of exposure is in two plan types</w:t>
      </w:r>
      <w:r w:rsidR="00832915">
        <w:t xml:space="preserve">: Term and Perm.  Although the split is relatively even by count, </w:t>
      </w:r>
      <w:r w:rsidR="00F1339B">
        <w:t>Term has much more exposure by a</w:t>
      </w:r>
      <w:r w:rsidR="00483C64">
        <w:t xml:space="preserve">mount since </w:t>
      </w:r>
      <w:r w:rsidR="00832915">
        <w:t>Term has a much higher average size ($402k compared to $53k</w:t>
      </w:r>
      <w:r w:rsidR="000013C4">
        <w:t>).  Both UL and VL are split by the option of a</w:t>
      </w:r>
      <w:r w:rsidR="00483C64">
        <w:t xml:space="preserve"> secondary g</w:t>
      </w:r>
      <w:r w:rsidR="003B4572">
        <w:t xml:space="preserve">uarantee, </w:t>
      </w:r>
      <w:r w:rsidR="00B67AD6">
        <w:t>but</w:t>
      </w:r>
      <w:r w:rsidR="003B4572">
        <w:t xml:space="preserve"> m</w:t>
      </w:r>
      <w:r w:rsidR="00483C64">
        <w:t>ost of</w:t>
      </w:r>
      <w:r w:rsidR="00832915">
        <w:t xml:space="preserve"> the exposure for both is without secondary guarantee.  The </w:t>
      </w:r>
      <w:r w:rsidR="003B4572">
        <w:t>final category is</w:t>
      </w:r>
      <w:r w:rsidR="00D81DA9">
        <w:t xml:space="preserve"> Other, which was discussed in s</w:t>
      </w:r>
      <w:r w:rsidR="003B4572">
        <w:t>ection II</w:t>
      </w:r>
      <w:r w:rsidR="00832915">
        <w:t>.</w:t>
      </w:r>
    </w:p>
    <w:p w14:paraId="0423CD7F" w14:textId="45322546" w:rsidR="003075D5" w:rsidRDefault="00832915" w:rsidP="00783EB0">
      <w:pPr>
        <w:spacing w:after="0"/>
        <w:jc w:val="both"/>
      </w:pPr>
      <w:r>
        <w:t>The distribution of expected deaths is not consistent with the distribution of exposure.</w:t>
      </w:r>
      <w:r w:rsidR="00D54954">
        <w:t xml:space="preserve">  </w:t>
      </w:r>
      <w:r w:rsidR="007E02C9">
        <w:t>Figure</w:t>
      </w:r>
      <w:r w:rsidR="00394F6D">
        <w:t xml:space="preserve"> 2</w:t>
      </w:r>
      <w:r w:rsidR="00D54954">
        <w:t xml:space="preserve"> shows actual and expected deaths for Perm policies are much greater than exposure.  This suggests differenc</w:t>
      </w:r>
      <w:r w:rsidR="00B67AD6">
        <w:t>es in underlying demographics</w:t>
      </w:r>
      <w:r w:rsidR="00394F6D">
        <w:t>. Also,</w:t>
      </w:r>
      <w:r w:rsidR="006F354F">
        <w:t xml:space="preserve"> Perm has a higher average age and a smaller size</w:t>
      </w:r>
      <w:r w:rsidR="00990E63">
        <w:t>, which</w:t>
      </w:r>
      <w:r w:rsidR="006F354F">
        <w:t xml:space="preserve"> are consistent with higher deaths.</w:t>
      </w:r>
    </w:p>
    <w:p w14:paraId="599E60DF" w14:textId="77777777" w:rsidR="00DA3C9C" w:rsidRDefault="001A6B43" w:rsidP="00783EB0">
      <w:pPr>
        <w:spacing w:after="0"/>
        <w:jc w:val="both"/>
      </w:pPr>
      <w:r>
        <w:t>Pl</w:t>
      </w:r>
      <w:r w:rsidR="00394F6D">
        <w:t>an type Perm has a higher count-</w:t>
      </w:r>
      <w:r>
        <w:t>w</w:t>
      </w:r>
      <w:r w:rsidR="00394F6D">
        <w:t>eighted average age than dollar-</w:t>
      </w:r>
      <w:r>
        <w:t>weighted.  This suggests younger policyholders have larger face amounts.  On the other hand, UL has a higher dollar</w:t>
      </w:r>
      <w:r w:rsidR="00104842">
        <w:t>-weighted average age than count-</w:t>
      </w:r>
      <w:r>
        <w:t xml:space="preserve">weighted.  This indicates older policyholders have larger face amounts.  This is consistent with </w:t>
      </w:r>
      <w:r w:rsidR="00B67AD6">
        <w:t>Figure</w:t>
      </w:r>
      <w:r>
        <w:t xml:space="preserve"> </w:t>
      </w:r>
      <w:r w:rsidR="00104842">
        <w:t>3</w:t>
      </w:r>
      <w:r>
        <w:t>.</w:t>
      </w:r>
    </w:p>
    <w:p w14:paraId="31BC3C41" w14:textId="404929E9" w:rsidR="001A6B43" w:rsidRDefault="00DA3C9C" w:rsidP="00783EB0">
      <w:pPr>
        <w:spacing w:after="0"/>
        <w:jc w:val="both"/>
      </w:pPr>
      <w:r>
        <w:rPr>
          <w:noProof/>
          <w:sz w:val="24"/>
          <w:szCs w:val="24"/>
        </w:rPr>
        <w:drawing>
          <wp:anchor distT="0" distB="0" distL="114300" distR="114300" simplePos="0" relativeHeight="251664384" behindDoc="0" locked="0" layoutInCell="1" allowOverlap="1" wp14:anchorId="3EEAEB1F" wp14:editId="2093CCEF">
            <wp:simplePos x="0" y="0"/>
            <wp:positionH relativeFrom="column">
              <wp:posOffset>3114675</wp:posOffset>
            </wp:positionH>
            <wp:positionV relativeFrom="paragraph">
              <wp:posOffset>63500</wp:posOffset>
            </wp:positionV>
            <wp:extent cx="3613150" cy="2171700"/>
            <wp:effectExtent l="19050" t="19050" r="2540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0" cy="2171700"/>
                    </a:xfrm>
                    <a:prstGeom prst="rect">
                      <a:avLst/>
                    </a:prstGeom>
                    <a:noFill/>
                    <a:ln w="12700">
                      <a:solidFill>
                        <a:schemeClr val="accent1"/>
                      </a:solidFill>
                    </a:ln>
                  </pic:spPr>
                </pic:pic>
              </a:graphicData>
            </a:graphic>
          </wp:anchor>
        </w:drawing>
      </w:r>
      <w:r w:rsidR="001A6B43">
        <w:t>As summarized above, these relationships all appear to be internally consistent.  However, this should be compared to industry norms/expectations.</w:t>
      </w:r>
    </w:p>
    <w:p w14:paraId="1D604A21" w14:textId="54F9E13C" w:rsidR="007F2D1D" w:rsidRPr="001A6B43" w:rsidRDefault="00DA3C9C" w:rsidP="00783EB0">
      <w:pPr>
        <w:spacing w:after="0"/>
        <w:jc w:val="both"/>
      </w:pPr>
      <w:r>
        <w:rPr>
          <w:noProof/>
        </w:rPr>
        <mc:AlternateContent>
          <mc:Choice Requires="wps">
            <w:drawing>
              <wp:anchor distT="0" distB="0" distL="114300" distR="114300" simplePos="0" relativeHeight="251666432" behindDoc="0" locked="0" layoutInCell="1" allowOverlap="1" wp14:anchorId="240B987E" wp14:editId="77B39971">
                <wp:simplePos x="0" y="0"/>
                <wp:positionH relativeFrom="column">
                  <wp:posOffset>3114675</wp:posOffset>
                </wp:positionH>
                <wp:positionV relativeFrom="paragraph">
                  <wp:posOffset>1704340</wp:posOffset>
                </wp:positionV>
                <wp:extent cx="3613150" cy="635"/>
                <wp:effectExtent l="0" t="0" r="6350" b="0"/>
                <wp:wrapSquare wrapText="bothSides"/>
                <wp:docPr id="22" name="Text Box 2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2E900C63" w14:textId="119F36D5" w:rsidR="008B320B" w:rsidRPr="0076259D" w:rsidRDefault="008B320B" w:rsidP="00DA3C9C">
                            <w:pPr>
                              <w:pStyle w:val="Caption"/>
                              <w:rPr>
                                <w:noProof/>
                                <w:sz w:val="24"/>
                                <w:szCs w:val="24"/>
                              </w:rPr>
                            </w:pPr>
                            <w:r>
                              <w:t xml:space="preserve">Figure </w:t>
                            </w:r>
                            <w:r w:rsidR="0054611A">
                              <w:fldChar w:fldCharType="begin"/>
                            </w:r>
                            <w:r w:rsidR="0054611A">
                              <w:instrText xml:space="preserve"> SEQ Figure \* ARABIC </w:instrText>
                            </w:r>
                            <w:r w:rsidR="0054611A">
                              <w:fldChar w:fldCharType="separate"/>
                            </w:r>
                            <w:r w:rsidR="00540404">
                              <w:rPr>
                                <w:noProof/>
                              </w:rPr>
                              <w:t>3</w:t>
                            </w:r>
                            <w:r w:rsidR="0054611A">
                              <w:rPr>
                                <w:noProof/>
                              </w:rPr>
                              <w:fldChar w:fldCharType="end"/>
                            </w:r>
                            <w:r>
                              <w:t>: Average Size by Attained 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B987E" id="Text Box 22" o:spid="_x0000_s1029" type="#_x0000_t202" style="position:absolute;left:0;text-align:left;margin-left:245.25pt;margin-top:134.2pt;width:28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" stroked="f">
                <v:textbox style="mso-fit-shape-to-text:t" inset="0,0,0,0">
                  <w:txbxContent>
                    <w:p w14:paraId="2E900C63" w14:textId="119F36D5" w:rsidR="008B320B" w:rsidRPr="0076259D" w:rsidRDefault="008B320B" w:rsidP="00DA3C9C">
                      <w:pPr>
                        <w:pStyle w:val="Caption"/>
                        <w:rPr>
                          <w:noProof/>
                          <w:sz w:val="24"/>
                          <w:szCs w:val="24"/>
                        </w:rPr>
                      </w:pPr>
                      <w:r>
                        <w:t xml:space="preserve">Figure </w:t>
                      </w:r>
                      <w:fldSimple w:instr=" SEQ Figure \* ARABIC ">
                        <w:r w:rsidR="00540404">
                          <w:rPr>
                            <w:noProof/>
                          </w:rPr>
                          <w:t>3</w:t>
                        </w:r>
                      </w:fldSimple>
                      <w:r>
                        <w:t>: Average Size by Attained Age</w:t>
                      </w:r>
                    </w:p>
                  </w:txbxContent>
                </v:textbox>
                <w10:wrap type="square"/>
              </v:shape>
            </w:pict>
          </mc:Fallback>
        </mc:AlternateContent>
      </w:r>
      <w:r w:rsidR="00AF091C">
        <w:t>A/E</w:t>
      </w:r>
      <w:r w:rsidR="00F25B5A">
        <w:t xml:space="preserve"> ratios are shown for deaths using the 2015 VBT table</w:t>
      </w:r>
      <w:r w:rsidR="001405D3" w:rsidRPr="006C3921">
        <w:t>.  Count</w:t>
      </w:r>
      <w:r w:rsidR="00F25B5A">
        <w:t>-</w:t>
      </w:r>
      <w:r w:rsidR="001405D3" w:rsidRPr="006C3921">
        <w:t>weighted values show that every plan type has an A/E of at least one, which was unexpected.  Count weig</w:t>
      </w:r>
      <w:r w:rsidR="00F25B5A">
        <w:t>hted A/E is greater than dollar-</w:t>
      </w:r>
      <w:r w:rsidR="001405D3" w:rsidRPr="006C3921">
        <w:t xml:space="preserve">weighted for every plan type.  This indicates that policyholders with larger face amounts live longer – and this is consistent with expectations.  This difference is most pronounced in Term policies – which suggests face amount is a bigger driver of </w:t>
      </w:r>
      <w:r w:rsidR="001A6B43">
        <w:t>Term mortality than other plans – perhaps indicating more rigorous underwriting.</w:t>
      </w:r>
    </w:p>
    <w:bookmarkEnd w:id="1"/>
    <w:p w14:paraId="12089687" w14:textId="77777777" w:rsidR="00B32207" w:rsidRDefault="00B32207" w:rsidP="00B32207">
      <w:pPr>
        <w:pStyle w:val="Heading1"/>
      </w:pPr>
      <w:r>
        <w:t xml:space="preserve">Section </w:t>
      </w:r>
      <w:r w:rsidR="00F54941">
        <w:t>V</w:t>
      </w:r>
      <w:r w:rsidRPr="00275E5C">
        <w:t xml:space="preserve">: </w:t>
      </w:r>
      <w:r>
        <w:t>Observation Year</w:t>
      </w:r>
    </w:p>
    <w:p w14:paraId="147CF6A8" w14:textId="77777777" w:rsidR="000E0461" w:rsidRDefault="003101EE" w:rsidP="000E0461">
      <w:pPr>
        <w:keepNext/>
      </w:pPr>
      <w:r w:rsidRPr="003101EE">
        <w:rPr>
          <w:noProof/>
        </w:rPr>
        <w:drawing>
          <wp:inline distT="0" distB="0" distL="0" distR="0" wp14:anchorId="34039F72" wp14:editId="0A08AF42">
            <wp:extent cx="6858000" cy="167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679575"/>
                    </a:xfrm>
                    <a:prstGeom prst="rect">
                      <a:avLst/>
                    </a:prstGeom>
                    <a:noFill/>
                    <a:ln>
                      <a:noFill/>
                    </a:ln>
                  </pic:spPr>
                </pic:pic>
              </a:graphicData>
            </a:graphic>
          </wp:inline>
        </w:drawing>
      </w:r>
    </w:p>
    <w:p w14:paraId="449BE855" w14:textId="57A7F15E" w:rsidR="003101EE" w:rsidRDefault="000E0461" w:rsidP="00DB3CB0">
      <w:pPr>
        <w:pStyle w:val="Caption"/>
        <w:spacing w:after="0"/>
      </w:pPr>
      <w:r>
        <w:t xml:space="preserve">Figure </w:t>
      </w:r>
      <w:r w:rsidR="0054611A">
        <w:fldChar w:fldCharType="begin"/>
      </w:r>
      <w:r w:rsidR="0054611A">
        <w:instrText xml:space="preserve"> SEQ Figure \* ARABIC </w:instrText>
      </w:r>
      <w:r w:rsidR="0054611A">
        <w:fldChar w:fldCharType="separate"/>
      </w:r>
      <w:r w:rsidR="00540404">
        <w:rPr>
          <w:noProof/>
        </w:rPr>
        <w:t>4</w:t>
      </w:r>
      <w:r w:rsidR="0054611A">
        <w:rPr>
          <w:noProof/>
        </w:rPr>
        <w:fldChar w:fldCharType="end"/>
      </w:r>
      <w:r>
        <w:t>: Summary by Observation Year</w:t>
      </w:r>
    </w:p>
    <w:p w14:paraId="2C2CD1D5" w14:textId="25DB222C" w:rsidR="00CD0FCE" w:rsidRDefault="00586527" w:rsidP="00783EB0">
      <w:pPr>
        <w:spacing w:after="0"/>
        <w:jc w:val="both"/>
      </w:pPr>
      <w:r>
        <w:t>Figure</w:t>
      </w:r>
      <w:r w:rsidR="000E0461">
        <w:t xml:space="preserve"> 4</w:t>
      </w:r>
      <w:r w:rsidR="00CD0FCE">
        <w:t xml:space="preserve"> shows that all observations occurred in the expected timeframe of 2009 to 2015</w:t>
      </w:r>
      <w:r>
        <w:t xml:space="preserve"> with</w:t>
      </w:r>
      <w:r w:rsidR="00CD0FCE">
        <w:t xml:space="preserve"> a very consistent pattern of moving from </w:t>
      </w:r>
      <w:r w:rsidR="00DB3CB0">
        <w:t>red</w:t>
      </w:r>
      <w:r w:rsidR="00CD0FCE">
        <w:t xml:space="preserve"> to </w:t>
      </w:r>
      <w:r w:rsidR="00DB3CB0">
        <w:t>green</w:t>
      </w:r>
      <w:r w:rsidR="00CD0FCE">
        <w:t xml:space="preserve"> (small to large) </w:t>
      </w:r>
      <w:r w:rsidR="00DB3CB0">
        <w:t>with time</w:t>
      </w:r>
      <w:r w:rsidR="00CD0FCE">
        <w:t>.  There is only one column where this is the e</w:t>
      </w:r>
      <w:r w:rsidR="00C21FCD">
        <w:t>xception:  dollar-</w:t>
      </w:r>
      <w:r w:rsidR="00DB3CB0">
        <w:t>weighted A/E deaths</w:t>
      </w:r>
      <w:r w:rsidR="000C63A1">
        <w:t>, which</w:t>
      </w:r>
      <w:r w:rsidR="00CD0FCE">
        <w:t xml:space="preserve"> shows the opposite pattern – decreasing values by increasing observation year.</w:t>
      </w:r>
    </w:p>
    <w:p w14:paraId="4E7AA0C2" w14:textId="1C247F68" w:rsidR="00914BD7" w:rsidRDefault="000B58FC" w:rsidP="00783EB0">
      <w:pPr>
        <w:spacing w:after="0"/>
        <w:jc w:val="both"/>
      </w:pPr>
      <w:r>
        <w:t xml:space="preserve">At first glance, this appears to be evidence of mortality improvement.  Further analysis, however, suggests otherwise.  </w:t>
      </w:r>
      <w:r w:rsidR="00CD0FCE">
        <w:t xml:space="preserve">For </w:t>
      </w:r>
      <w:r w:rsidR="00F27942">
        <w:t>example, count-</w:t>
      </w:r>
      <w:r w:rsidR="00CD0FCE">
        <w:t>weighted A/E ratios don’t show a pattern that suggests mortality improvement</w:t>
      </w:r>
      <w:r w:rsidR="00F27942">
        <w:t>. Also</w:t>
      </w:r>
      <w:r w:rsidR="00CD0FCE">
        <w:t>, t</w:t>
      </w:r>
      <w:r>
        <w:t>he diff</w:t>
      </w:r>
      <w:r w:rsidR="00F27942">
        <w:t>erence between count and dollar-</w:t>
      </w:r>
      <w:r>
        <w:t xml:space="preserve">weighted </w:t>
      </w:r>
      <w:r w:rsidR="00CD0FCE">
        <w:t xml:space="preserve">ratios increases by Observation </w:t>
      </w:r>
      <w:r w:rsidR="00667A0C">
        <w:t>Year.</w:t>
      </w:r>
      <w:r>
        <w:t xml:space="preserve"> Instead of mortality improvement, this appears to be evidence of increased</w:t>
      </w:r>
      <w:r w:rsidR="00C21FCD">
        <w:t xml:space="preserve"> selection taking place on </w:t>
      </w:r>
      <w:r w:rsidR="004B24B1">
        <w:t>p</w:t>
      </w:r>
      <w:r>
        <w:t>olicies</w:t>
      </w:r>
      <w:r w:rsidR="004B24B1">
        <w:t xml:space="preserve"> with high face amount</w:t>
      </w:r>
      <w:r>
        <w:t xml:space="preserve">.  </w:t>
      </w:r>
      <w:r w:rsidR="003101EE">
        <w:t xml:space="preserve">Further analysis would be required to </w:t>
      </w:r>
      <w:r>
        <w:t xml:space="preserve">more conclusively </w:t>
      </w:r>
      <w:r w:rsidR="00C21FCD">
        <w:t>determine the cause of this anomaly</w:t>
      </w:r>
      <w:r w:rsidR="003101EE">
        <w:t>.</w:t>
      </w:r>
    </w:p>
    <w:p w14:paraId="51761E26" w14:textId="77777777" w:rsidR="00853FEA" w:rsidRDefault="00853FEA" w:rsidP="00853FEA">
      <w:pPr>
        <w:pStyle w:val="Heading1"/>
      </w:pPr>
      <w:r>
        <w:lastRenderedPageBreak/>
        <w:t xml:space="preserve">Section </w:t>
      </w:r>
      <w:r w:rsidR="00E225B0">
        <w:t>V</w:t>
      </w:r>
      <w:r w:rsidR="00F54941">
        <w:t>I</w:t>
      </w:r>
      <w:r w:rsidRPr="00275E5C">
        <w:t xml:space="preserve">: </w:t>
      </w:r>
      <w:r>
        <w:t>Guaranteed Level Term Period</w:t>
      </w:r>
    </w:p>
    <w:p w14:paraId="3B6F7252" w14:textId="42201789" w:rsidR="000C1C99" w:rsidRDefault="000C1C99" w:rsidP="00BC520D">
      <w:pPr>
        <w:spacing w:after="0"/>
      </w:pPr>
      <w:r>
        <w:t>The following table shows results</w:t>
      </w:r>
      <w:r w:rsidR="009E7BF4">
        <w:t xml:space="preserve"> for Term policies</w:t>
      </w:r>
      <w:r>
        <w:t xml:space="preserve"> grouped by guaranteed level term period.  </w:t>
      </w:r>
    </w:p>
    <w:p w14:paraId="337D7581" w14:textId="77777777" w:rsidR="009E7BF4" w:rsidRDefault="00F361E1" w:rsidP="009E7BF4">
      <w:pPr>
        <w:keepNext/>
      </w:pPr>
      <w:r w:rsidRPr="00F361E1">
        <w:rPr>
          <w:noProof/>
        </w:rPr>
        <w:drawing>
          <wp:inline distT="0" distB="0" distL="0" distR="0" wp14:anchorId="0A383E76" wp14:editId="2AC0F349">
            <wp:extent cx="6858000" cy="16099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609933"/>
                    </a:xfrm>
                    <a:prstGeom prst="rect">
                      <a:avLst/>
                    </a:prstGeom>
                    <a:noFill/>
                    <a:ln>
                      <a:noFill/>
                    </a:ln>
                  </pic:spPr>
                </pic:pic>
              </a:graphicData>
            </a:graphic>
          </wp:inline>
        </w:drawing>
      </w:r>
    </w:p>
    <w:p w14:paraId="2AD05171" w14:textId="269EF1B4" w:rsidR="00F361E1" w:rsidRDefault="009E7BF4" w:rsidP="009E7BF4">
      <w:pPr>
        <w:pStyle w:val="Caption"/>
      </w:pPr>
      <w:r>
        <w:t xml:space="preserve">Figure </w:t>
      </w:r>
      <w:r w:rsidR="0054611A">
        <w:fldChar w:fldCharType="begin"/>
      </w:r>
      <w:r w:rsidR="0054611A">
        <w:instrText xml:space="preserve"> SEQ Figure \* ARABIC </w:instrText>
      </w:r>
      <w:r w:rsidR="0054611A">
        <w:fldChar w:fldCharType="separate"/>
      </w:r>
      <w:r w:rsidR="00540404">
        <w:rPr>
          <w:noProof/>
        </w:rPr>
        <w:t>5</w:t>
      </w:r>
      <w:r w:rsidR="0054611A">
        <w:rPr>
          <w:noProof/>
        </w:rPr>
        <w:fldChar w:fldCharType="end"/>
      </w:r>
      <w:r>
        <w:t>: Guaranteed Level Term Period</w:t>
      </w:r>
    </w:p>
    <w:p w14:paraId="37D10BBA" w14:textId="1CC4AA11" w:rsidR="00F361E1" w:rsidRDefault="00747AB5" w:rsidP="00904C4A">
      <w:pPr>
        <w:spacing w:after="0"/>
        <w:jc w:val="both"/>
      </w:pPr>
      <w:r>
        <w:rPr>
          <w:b/>
          <w:noProof/>
        </w:rPr>
        <w:drawing>
          <wp:anchor distT="0" distB="0" distL="114300" distR="114300" simplePos="0" relativeHeight="251667456" behindDoc="0" locked="0" layoutInCell="1" allowOverlap="1" wp14:anchorId="4741F6C2" wp14:editId="6C592DC7">
            <wp:simplePos x="0" y="0"/>
            <wp:positionH relativeFrom="column">
              <wp:posOffset>2896235</wp:posOffset>
            </wp:positionH>
            <wp:positionV relativeFrom="paragraph">
              <wp:posOffset>440055</wp:posOffset>
            </wp:positionV>
            <wp:extent cx="3960495" cy="2257425"/>
            <wp:effectExtent l="19050" t="19050" r="20955" b="285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495" cy="2257425"/>
                    </a:xfrm>
                    <a:prstGeom prst="rect">
                      <a:avLst/>
                    </a:prstGeom>
                    <a:noFill/>
                    <a:ln w="12700">
                      <a:solidFill>
                        <a:schemeClr val="accent1"/>
                      </a:solidFill>
                    </a:ln>
                  </pic:spPr>
                </pic:pic>
              </a:graphicData>
            </a:graphic>
            <wp14:sizeRelH relativeFrom="margin">
              <wp14:pctWidth>0</wp14:pctWidth>
            </wp14:sizeRelH>
            <wp14:sizeRelV relativeFrom="margin">
              <wp14:pctHeight>0</wp14:pctHeight>
            </wp14:sizeRelV>
          </wp:anchor>
        </w:drawing>
      </w:r>
      <w:r w:rsidR="00BC520D">
        <w:t>Most</w:t>
      </w:r>
      <w:r w:rsidR="00593F2B">
        <w:t xml:space="preserve"> of </w:t>
      </w:r>
      <w:r w:rsidR="00155A42">
        <w:t xml:space="preserve">the </w:t>
      </w:r>
      <w:r w:rsidR="00593F2B">
        <w:t xml:space="preserve">exposure has a Guarantee Level Term Period of 20 years.  A/E varies indirectly with average size, which is consistent with expectations.  </w:t>
      </w:r>
      <w:r w:rsidR="00C76845">
        <w:t>A</w:t>
      </w:r>
      <w:r w:rsidR="000959E0">
        <w:t xml:space="preserve">s we saw in </w:t>
      </w:r>
      <w:r w:rsidR="00EB183E">
        <w:t>Figure 2</w:t>
      </w:r>
      <w:r w:rsidR="000959E0">
        <w:t>, T</w:t>
      </w:r>
      <w:r w:rsidR="00C76845">
        <w:t>erm</w:t>
      </w:r>
      <w:r w:rsidR="00601995">
        <w:t xml:space="preserve"> policies have</w:t>
      </w:r>
      <w:r w:rsidR="00C76845">
        <w:t xml:space="preserve"> </w:t>
      </w:r>
      <w:r w:rsidR="00601995">
        <w:t>the highest difference between count and dollar-w</w:t>
      </w:r>
      <w:r w:rsidR="0004361F">
        <w:t>eighted A/E.</w:t>
      </w:r>
      <w:r w:rsidR="00C76845">
        <w:t xml:space="preserve"> In </w:t>
      </w:r>
      <w:r w:rsidR="00D52EC3">
        <w:t>Figure 5</w:t>
      </w:r>
      <w:r w:rsidR="00C76845">
        <w:t>, this is broken down by Guaranteed Level Ter</w:t>
      </w:r>
      <w:r w:rsidR="00D52EC3">
        <w:t>m Period, and we can see t</w:t>
      </w:r>
      <w:r w:rsidR="00C76845">
        <w:t>hese differences are consistent with expectations.</w:t>
      </w:r>
      <w:r w:rsidR="004A5A71">
        <w:t xml:space="preserve"> </w:t>
      </w:r>
      <w:r w:rsidR="000959E0">
        <w:t xml:space="preserve">Term mortality should exhibit a pattern of lower mortality during </w:t>
      </w:r>
      <w:r w:rsidR="0004361F">
        <w:t xml:space="preserve">the </w:t>
      </w:r>
      <w:r w:rsidR="000959E0">
        <w:t xml:space="preserve">guaranteed period </w:t>
      </w:r>
      <w:r w:rsidR="0004361F">
        <w:t>with</w:t>
      </w:r>
      <w:r w:rsidR="000959E0">
        <w:t xml:space="preserve"> an increase </w:t>
      </w:r>
      <w:r w:rsidR="0004361F">
        <w:t xml:space="preserve">immediately </w:t>
      </w:r>
      <w:r w:rsidR="000959E0">
        <w:t>after</w:t>
      </w:r>
      <w:r w:rsidR="004A5A71">
        <w:t>.</w:t>
      </w:r>
      <w:r w:rsidR="000959E0" w:rsidRPr="004A5A71">
        <w:t xml:space="preserve">  To check for consistency with this pattern</w:t>
      </w:r>
      <w:r>
        <w:t>, Figure 5</w:t>
      </w:r>
      <w:r w:rsidR="000959E0" w:rsidRPr="004A5A71">
        <w:t xml:space="preserve"> wa</w:t>
      </w:r>
      <w:r w:rsidR="0004361F">
        <w:t>s further separated by duration, and the r</w:t>
      </w:r>
      <w:r w:rsidR="000959E0" w:rsidRPr="004A5A71">
        <w:t xml:space="preserve">esults are shown in </w:t>
      </w:r>
      <w:r>
        <w:t>Figure 6</w:t>
      </w:r>
      <w:r w:rsidR="000959E0">
        <w:t>.</w:t>
      </w:r>
    </w:p>
    <w:p w14:paraId="53FEB311" w14:textId="365A01FE" w:rsidR="009E0013" w:rsidRDefault="00747AB5" w:rsidP="00904C4A">
      <w:pPr>
        <w:spacing w:after="0"/>
        <w:jc w:val="both"/>
      </w:pPr>
      <w:r>
        <w:rPr>
          <w:noProof/>
        </w:rPr>
        <mc:AlternateContent>
          <mc:Choice Requires="wps">
            <w:drawing>
              <wp:anchor distT="0" distB="0" distL="114300" distR="114300" simplePos="0" relativeHeight="251669504" behindDoc="0" locked="0" layoutInCell="1" allowOverlap="1" wp14:anchorId="68BCB298" wp14:editId="329B85AE">
                <wp:simplePos x="0" y="0"/>
                <wp:positionH relativeFrom="margin">
                  <wp:align>right</wp:align>
                </wp:positionH>
                <wp:positionV relativeFrom="paragraph">
                  <wp:posOffset>702310</wp:posOffset>
                </wp:positionV>
                <wp:extent cx="3961765" cy="635"/>
                <wp:effectExtent l="0" t="0" r="635" b="0"/>
                <wp:wrapSquare wrapText="bothSides"/>
                <wp:docPr id="23" name="Text Box 23"/>
                <wp:cNvGraphicFramePr/>
                <a:graphic xmlns:a="http://schemas.openxmlformats.org/drawingml/2006/main">
                  <a:graphicData uri="http://schemas.microsoft.com/office/word/2010/wordprocessingShape">
                    <wps:wsp>
                      <wps:cNvSpPr txBox="1"/>
                      <wps:spPr>
                        <a:xfrm>
                          <a:off x="0" y="0"/>
                          <a:ext cx="3961765" cy="635"/>
                        </a:xfrm>
                        <a:prstGeom prst="rect">
                          <a:avLst/>
                        </a:prstGeom>
                        <a:solidFill>
                          <a:prstClr val="white"/>
                        </a:solidFill>
                        <a:ln>
                          <a:noFill/>
                        </a:ln>
                      </wps:spPr>
                      <wps:txbx>
                        <w:txbxContent>
                          <w:p w14:paraId="749B22C9" w14:textId="1F9DF3B2" w:rsidR="008B320B" w:rsidRPr="00546960" w:rsidRDefault="008B320B" w:rsidP="002E2F8A">
                            <w:pPr>
                              <w:pStyle w:val="Caption"/>
                              <w:rPr>
                                <w:b/>
                                <w:noProof/>
                              </w:rPr>
                            </w:pPr>
                            <w:r>
                              <w:t xml:space="preserve">Figure </w:t>
                            </w:r>
                            <w:r w:rsidR="0054611A">
                              <w:fldChar w:fldCharType="begin"/>
                            </w:r>
                            <w:r w:rsidR="0054611A">
                              <w:instrText xml:space="preserve"> SEQ Figure \* ARABIC </w:instrText>
                            </w:r>
                            <w:r w:rsidR="0054611A">
                              <w:fldChar w:fldCharType="separate"/>
                            </w:r>
                            <w:r w:rsidR="00540404">
                              <w:rPr>
                                <w:noProof/>
                              </w:rPr>
                              <w:t>6</w:t>
                            </w:r>
                            <w:r w:rsidR="0054611A">
                              <w:rPr>
                                <w:noProof/>
                              </w:rPr>
                              <w:fldChar w:fldCharType="end"/>
                            </w:r>
                            <w:r>
                              <w:t>: A/E by Duration and Guaranteed Term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BCB298" id="Text Box 23" o:spid="_x0000_s1030" type="#_x0000_t202" style="position:absolute;left:0;text-align:left;margin-left:260.75pt;margin-top:55.3pt;width:311.95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zdMAIAAGY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" stroked="f">
                <v:textbox style="mso-fit-shape-to-text:t" inset="0,0,0,0">
                  <w:txbxContent>
                    <w:p w14:paraId="749B22C9" w14:textId="1F9DF3B2" w:rsidR="008B320B" w:rsidRPr="00546960" w:rsidRDefault="008B320B" w:rsidP="002E2F8A">
                      <w:pPr>
                        <w:pStyle w:val="Caption"/>
                        <w:rPr>
                          <w:b/>
                          <w:noProof/>
                        </w:rPr>
                      </w:pPr>
                      <w:r>
                        <w:t xml:space="preserve">Figure </w:t>
                      </w:r>
                      <w:fldSimple w:instr=" SEQ Figure \* ARABIC ">
                        <w:r w:rsidR="00540404">
                          <w:rPr>
                            <w:noProof/>
                          </w:rPr>
                          <w:t>6</w:t>
                        </w:r>
                      </w:fldSimple>
                      <w:r>
                        <w:t>: A/E by Duration and Guaranteed Term Period</w:t>
                      </w:r>
                    </w:p>
                  </w:txbxContent>
                </v:textbox>
                <w10:wrap type="square" anchorx="margin"/>
              </v:shape>
            </w:pict>
          </mc:Fallback>
        </mc:AlternateContent>
      </w:r>
      <w:r w:rsidR="00593F2B">
        <w:t xml:space="preserve">There are several distinct </w:t>
      </w:r>
      <w:r w:rsidR="00DF327F">
        <w:t xml:space="preserve">spikes in </w:t>
      </w:r>
      <w:r w:rsidR="008A282A">
        <w:t>the figure</w:t>
      </w:r>
      <w:r w:rsidR="00DF327F">
        <w:t xml:space="preserve">.  </w:t>
      </w:r>
      <w:r w:rsidR="000959E0">
        <w:t>Cohorts 10, 15, and 20</w:t>
      </w:r>
      <w:r w:rsidR="00DF327F">
        <w:t xml:space="preserve"> all have spikes that occu</w:t>
      </w:r>
      <w:r w:rsidR="00590B02">
        <w:t xml:space="preserve">r at end of the guaranteed period. </w:t>
      </w:r>
      <w:r w:rsidR="00DF327F">
        <w:t>This is consisten</w:t>
      </w:r>
      <w:r w:rsidR="000959E0">
        <w:t>t with expectations.  C</w:t>
      </w:r>
      <w:r w:rsidR="00DF327F">
        <w:t xml:space="preserve">ohort </w:t>
      </w:r>
      <w:r w:rsidR="000959E0">
        <w:t xml:space="preserve">5 </w:t>
      </w:r>
      <w:r w:rsidR="00DF327F">
        <w:t xml:space="preserve">does not have a distinct spike, which is inconsistent with the other cohorts.  </w:t>
      </w:r>
      <w:r w:rsidR="000959E0">
        <w:t>Cohort 30 does</w:t>
      </w:r>
      <w:r w:rsidR="00DF327F">
        <w:t xml:space="preserve"> not </w:t>
      </w:r>
      <w:r w:rsidR="000959E0">
        <w:t xml:space="preserve">have </w:t>
      </w:r>
      <w:r w:rsidR="00DF327F">
        <w:t>enough exposure in later durations to investigate shock mortality.  Mortality shock rate appears to have a pattern of decreasing intensity with increasing guaranteed term period (</w:t>
      </w:r>
      <w:r w:rsidR="000959E0">
        <w:t>cohort 10</w:t>
      </w:r>
      <w:r w:rsidR="00DF327F">
        <w:t xml:space="preserve"> shock &gt; </w:t>
      </w:r>
      <w:r w:rsidR="000959E0">
        <w:t xml:space="preserve">cohort </w:t>
      </w:r>
      <w:r w:rsidR="00DF327F">
        <w:t xml:space="preserve">15 shock &gt; </w:t>
      </w:r>
      <w:r w:rsidR="000959E0">
        <w:t xml:space="preserve">cohort </w:t>
      </w:r>
      <w:r w:rsidR="00DF327F">
        <w:t xml:space="preserve">20 shock).  </w:t>
      </w:r>
      <w:r w:rsidR="00AF3243">
        <w:t>Cohorts 10 and 15 appear to drop off much more quickly than cohort 20.  This inconsistency should be investigated</w:t>
      </w:r>
      <w:r w:rsidR="00FF1201">
        <w:t xml:space="preserve"> further</w:t>
      </w:r>
      <w:r w:rsidR="00AF3243">
        <w:t>.</w:t>
      </w:r>
    </w:p>
    <w:p w14:paraId="46D916DC" w14:textId="2A9D0D5B" w:rsidR="009E0013" w:rsidRPr="005D7C18" w:rsidRDefault="009E0013" w:rsidP="00904C4A">
      <w:pPr>
        <w:spacing w:after="0"/>
        <w:jc w:val="both"/>
      </w:pPr>
      <w:r>
        <w:t>Guaranteed Level Term</w:t>
      </w:r>
      <w:r w:rsidR="00EF3820">
        <w:t xml:space="preserve"> </w:t>
      </w:r>
      <w:r>
        <w:t xml:space="preserve">Period was </w:t>
      </w:r>
      <w:r w:rsidR="007B6724">
        <w:t xml:space="preserve">also </w:t>
      </w:r>
      <w:r>
        <w:t>analyzed along with Anticipated Level Term Period.  Res</w:t>
      </w:r>
      <w:r w:rsidR="00AF3243">
        <w:t xml:space="preserve">ults are summarized in </w:t>
      </w:r>
      <w:r w:rsidR="00B36ADE">
        <w:t xml:space="preserve">Figure </w:t>
      </w:r>
      <w:r w:rsidR="00B62CF7">
        <w:t>18</w:t>
      </w:r>
      <w:r w:rsidR="00AF3243">
        <w:t xml:space="preserve"> (Appendix).</w:t>
      </w:r>
      <w:r w:rsidR="00E62C32">
        <w:t xml:space="preserve"> </w:t>
      </w:r>
      <w:r>
        <w:t xml:space="preserve">All anticipated level term periods are greater than or equal to the guaranteed level term period.  The most common selection in any guaranteed level term period is the anticipated level term period of equal duration.  This is consistent with expectations.  </w:t>
      </w:r>
    </w:p>
    <w:p w14:paraId="19C423A6" w14:textId="77777777" w:rsidR="00DE4516" w:rsidRDefault="00DE4516" w:rsidP="00DE4516">
      <w:pPr>
        <w:pStyle w:val="Heading1"/>
      </w:pPr>
      <w:r>
        <w:lastRenderedPageBreak/>
        <w:t>Section V</w:t>
      </w:r>
      <w:r w:rsidR="00F54941">
        <w:t>II</w:t>
      </w:r>
      <w:r w:rsidRPr="00275E5C">
        <w:t xml:space="preserve">: </w:t>
      </w:r>
      <w:r>
        <w:t>Face Amount</w:t>
      </w:r>
    </w:p>
    <w:p w14:paraId="0D0BF8C9" w14:textId="77777777" w:rsidR="005F4148" w:rsidRDefault="00084FFB" w:rsidP="005F4148">
      <w:pPr>
        <w:keepNext/>
      </w:pPr>
      <w:r w:rsidRPr="00084FFB">
        <w:rPr>
          <w:noProof/>
        </w:rPr>
        <w:drawing>
          <wp:inline distT="0" distB="0" distL="0" distR="0" wp14:anchorId="638442EC" wp14:editId="64083A6A">
            <wp:extent cx="6858000" cy="231479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314791"/>
                    </a:xfrm>
                    <a:prstGeom prst="rect">
                      <a:avLst/>
                    </a:prstGeom>
                    <a:noFill/>
                    <a:ln>
                      <a:noFill/>
                    </a:ln>
                  </pic:spPr>
                </pic:pic>
              </a:graphicData>
            </a:graphic>
          </wp:inline>
        </w:drawing>
      </w:r>
    </w:p>
    <w:p w14:paraId="345F4AF7" w14:textId="68D00C3C" w:rsidR="00084FFB" w:rsidRDefault="005F4148" w:rsidP="005F4148">
      <w:pPr>
        <w:pStyle w:val="Caption"/>
      </w:pPr>
      <w:r>
        <w:t xml:space="preserve">Figure </w:t>
      </w:r>
      <w:r w:rsidR="0054611A">
        <w:fldChar w:fldCharType="begin"/>
      </w:r>
      <w:r w:rsidR="0054611A">
        <w:instrText xml:space="preserve"> SEQ Figure \* ARABIC </w:instrText>
      </w:r>
      <w:r w:rsidR="0054611A">
        <w:fldChar w:fldCharType="separate"/>
      </w:r>
      <w:r w:rsidR="00540404">
        <w:rPr>
          <w:noProof/>
        </w:rPr>
        <w:t>7</w:t>
      </w:r>
      <w:r w:rsidR="0054611A">
        <w:rPr>
          <w:noProof/>
        </w:rPr>
        <w:fldChar w:fldCharType="end"/>
      </w:r>
      <w:r>
        <w:t>: Face Amount Summary</w:t>
      </w:r>
    </w:p>
    <w:p w14:paraId="0D53C5D3" w14:textId="5FDCBB58" w:rsidR="00084FFB" w:rsidRDefault="004F4920" w:rsidP="007C7192">
      <w:pPr>
        <w:spacing w:after="0"/>
        <w:jc w:val="both"/>
      </w:pPr>
      <w:r>
        <w:t>In the above figure, t</w:t>
      </w:r>
      <w:r w:rsidR="00AF3243">
        <w:t xml:space="preserve">he column “RATIO” </w:t>
      </w:r>
      <w:r>
        <w:t xml:space="preserve">has been added to indicate </w:t>
      </w:r>
      <w:r w:rsidR="00AF3243">
        <w:t xml:space="preserve">where the average size </w:t>
      </w:r>
      <w:r w:rsidR="00A41944">
        <w:t>of</w:t>
      </w:r>
      <w:r w:rsidR="00AF3243">
        <w:t xml:space="preserve"> </w:t>
      </w:r>
      <w:r w:rsidR="00375105">
        <w:t>a</w:t>
      </w:r>
      <w:r w:rsidR="00AF3243">
        <w:t xml:space="preserve"> </w:t>
      </w:r>
      <w:r w:rsidR="00D64D4A">
        <w:t>band</w:t>
      </w:r>
      <w:r w:rsidR="00AF3243">
        <w:t xml:space="preserve"> fits within that </w:t>
      </w:r>
      <w:r w:rsidR="00375105">
        <w:t xml:space="preserve">band’s </w:t>
      </w:r>
      <w:r w:rsidR="00D64D4A">
        <w:t>numeric</w:t>
      </w:r>
      <w:r w:rsidR="00375105">
        <w:t>al</w:t>
      </w:r>
      <w:r w:rsidR="00D64D4A">
        <w:t xml:space="preserve"> range</w:t>
      </w:r>
      <w:r w:rsidR="00AF3243">
        <w:t xml:space="preserve">.  For </w:t>
      </w:r>
      <w:r w:rsidR="009B7E3D">
        <w:t>example</w:t>
      </w:r>
      <w:r>
        <w:t>,</w:t>
      </w:r>
      <w:r w:rsidR="00AF3243">
        <w:t xml:space="preserve"> in row 1, $4,009 is 40.1% of the way between 1 and 10K.  </w:t>
      </w:r>
      <w:r w:rsidR="00A41944">
        <w:t xml:space="preserve">All “RATIO” </w:t>
      </w:r>
      <w:r w:rsidR="00AF3243">
        <w:t>values are between 0% and 100%</w:t>
      </w:r>
      <w:r w:rsidR="00A41944">
        <w:t>, which</w:t>
      </w:r>
      <w:r w:rsidR="00AF3243">
        <w:t xml:space="preserve"> indicates all average sizes fall within the appropriate band</w:t>
      </w:r>
      <w:r w:rsidR="000F0C3F">
        <w:t>, and f</w:t>
      </w:r>
      <w:r w:rsidR="00AF3243">
        <w:t>urther inspection revea</w:t>
      </w:r>
      <w:r w:rsidR="000F0C3F">
        <w:t>ls that all ratios are below 50%. T</w:t>
      </w:r>
      <w:r w:rsidR="00AF3243">
        <w:t>his indicates that</w:t>
      </w:r>
      <w:r w:rsidR="000F0C3F">
        <w:t>,</w:t>
      </w:r>
      <w:r w:rsidR="00AF3243">
        <w:t xml:space="preserve"> on average, policies are closer to the low end of their band than the high end.</w:t>
      </w:r>
      <w:r w:rsidR="00084FFB">
        <w:t xml:space="preserve">  There is </w:t>
      </w:r>
      <w:r w:rsidR="000F0C3F">
        <w:t>a very clear trend of</w:t>
      </w:r>
      <w:r w:rsidR="00084FFB">
        <w:t xml:space="preserve"> decreasing A/E with increasing face amount</w:t>
      </w:r>
      <w:r w:rsidR="000F0C3F">
        <w:t>, which</w:t>
      </w:r>
      <w:r w:rsidR="00084FFB">
        <w:t xml:space="preserve"> has been a c</w:t>
      </w:r>
      <w:r w:rsidR="000F0C3F">
        <w:t>onsistent theme in this report.</w:t>
      </w:r>
      <w:r w:rsidR="00084FFB">
        <w:t xml:space="preserve"> There is also little diff</w:t>
      </w:r>
      <w:r w:rsidR="00375105">
        <w:t>erence between count and dollar-</w:t>
      </w:r>
      <w:r w:rsidR="00084FFB">
        <w:t>weighted A/</w:t>
      </w:r>
      <w:proofErr w:type="gramStart"/>
      <w:r w:rsidR="00084FFB">
        <w:t>E</w:t>
      </w:r>
      <w:r w:rsidR="00375105">
        <w:t>,</w:t>
      </w:r>
      <w:r w:rsidR="00084FFB">
        <w:t xml:space="preserve"> since</w:t>
      </w:r>
      <w:proofErr w:type="gramEnd"/>
      <w:r w:rsidR="00084FFB">
        <w:t xml:space="preserve"> policies of similar sizes have been grouped.</w:t>
      </w:r>
      <w:r w:rsidR="00375105">
        <w:t xml:space="preserve"> Most</w:t>
      </w:r>
      <w:r w:rsidR="00084FFB">
        <w:t xml:space="preserve"> policies by count are </w:t>
      </w:r>
      <w:r w:rsidR="000F0C3F">
        <w:t xml:space="preserve">in the 100K – 250K </w:t>
      </w:r>
      <w:proofErr w:type="gramStart"/>
      <w:r w:rsidR="000F0C3F">
        <w:t>range, but</w:t>
      </w:r>
      <w:proofErr w:type="gramEnd"/>
      <w:r w:rsidR="000F0C3F">
        <w:t xml:space="preserve"> l</w:t>
      </w:r>
      <w:r w:rsidR="00084FFB">
        <w:t xml:space="preserve">ooking at exposure by amount shows </w:t>
      </w:r>
      <w:r w:rsidR="009F6ED6">
        <w:t>a concentration in a wider range.</w:t>
      </w:r>
    </w:p>
    <w:p w14:paraId="61D8E12E" w14:textId="77777777" w:rsidR="00A552DD" w:rsidRDefault="00A552DD" w:rsidP="00A552DD">
      <w:pPr>
        <w:pStyle w:val="Heading1"/>
      </w:pPr>
      <w:r>
        <w:t>Section V</w:t>
      </w:r>
      <w:r w:rsidR="00C53175">
        <w:t>I</w:t>
      </w:r>
      <w:r w:rsidR="00F54941">
        <w:t>II</w:t>
      </w:r>
      <w:r w:rsidRPr="00275E5C">
        <w:t xml:space="preserve">: </w:t>
      </w:r>
      <w:r>
        <w:t>Preferred Class and Smoker Status</w:t>
      </w:r>
    </w:p>
    <w:p w14:paraId="72F9DCDC" w14:textId="77777777" w:rsidR="00BB7083" w:rsidRDefault="002438CC" w:rsidP="00BB7083">
      <w:pPr>
        <w:keepNext/>
      </w:pPr>
      <w:r w:rsidRPr="002438CC">
        <w:rPr>
          <w:noProof/>
        </w:rPr>
        <w:drawing>
          <wp:inline distT="0" distB="0" distL="0" distR="0" wp14:anchorId="2AB5D6D1" wp14:editId="1CFECF64">
            <wp:extent cx="6858000" cy="264201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642016"/>
                    </a:xfrm>
                    <a:prstGeom prst="rect">
                      <a:avLst/>
                    </a:prstGeom>
                    <a:noFill/>
                    <a:ln>
                      <a:noFill/>
                    </a:ln>
                  </pic:spPr>
                </pic:pic>
              </a:graphicData>
            </a:graphic>
          </wp:inline>
        </w:drawing>
      </w:r>
    </w:p>
    <w:p w14:paraId="30467DA1" w14:textId="4C9EE87A" w:rsidR="00A9465D" w:rsidRDefault="00BB7083" w:rsidP="00BB7083">
      <w:pPr>
        <w:pStyle w:val="Caption"/>
        <w:rPr>
          <w:b/>
          <w:sz w:val="24"/>
          <w:szCs w:val="24"/>
        </w:rPr>
      </w:pPr>
      <w:r>
        <w:t xml:space="preserve">Figure </w:t>
      </w:r>
      <w:r w:rsidR="0054611A">
        <w:fldChar w:fldCharType="begin"/>
      </w:r>
      <w:r w:rsidR="0054611A">
        <w:instrText xml:space="preserve"> SEQ Figure \* ARABIC </w:instrText>
      </w:r>
      <w:r w:rsidR="0054611A">
        <w:fldChar w:fldCharType="separate"/>
      </w:r>
      <w:r w:rsidR="00540404">
        <w:rPr>
          <w:noProof/>
        </w:rPr>
        <w:t>8</w:t>
      </w:r>
      <w:r w:rsidR="0054611A">
        <w:rPr>
          <w:noProof/>
        </w:rPr>
        <w:fldChar w:fldCharType="end"/>
      </w:r>
      <w:r>
        <w:t>: Preferred Class Summary</w:t>
      </w:r>
    </w:p>
    <w:p w14:paraId="2612240C" w14:textId="19A48316" w:rsidR="00345AB4" w:rsidRDefault="0099201F" w:rsidP="002D7580">
      <w:pPr>
        <w:spacing w:after="0"/>
        <w:jc w:val="both"/>
      </w:pPr>
      <w:r>
        <w:t>Figure</w:t>
      </w:r>
      <w:r w:rsidR="009B7E3D">
        <w:t xml:space="preserve"> 8 summarizes policies grouped by 3 fields: Preferred Class, Number of Preferred Classes, and Smoker Status.  There are several policies that have Preferred Class and Number of Preferred Classes set to “NA”.  There are also several policies with Smoker Status set to “UNKNOWN”.  These pol</w:t>
      </w:r>
      <w:r w:rsidR="00013882">
        <w:t>icies are addressed in section II</w:t>
      </w:r>
      <w:r w:rsidR="009B7E3D">
        <w:t>.</w:t>
      </w:r>
      <w:r>
        <w:t xml:space="preserve"> </w:t>
      </w:r>
      <w:r w:rsidR="002438CC" w:rsidRPr="00F54941">
        <w:t>There are no instances of preferred class &gt; number of preferred classes</w:t>
      </w:r>
      <w:r w:rsidR="00013882">
        <w:t>, which is consistent with expectations</w:t>
      </w:r>
      <w:r w:rsidR="002438CC" w:rsidRPr="00F54941">
        <w:t xml:space="preserve">.  </w:t>
      </w:r>
      <w:r w:rsidR="00345AB4" w:rsidRPr="00F54941">
        <w:t xml:space="preserve">There </w:t>
      </w:r>
      <w:r w:rsidR="00875AC3">
        <w:t>are</w:t>
      </w:r>
      <w:r>
        <w:t xml:space="preserve"> </w:t>
      </w:r>
      <w:r w:rsidR="00345AB4" w:rsidRPr="00F54941">
        <w:t>distinct pattern</w:t>
      </w:r>
      <w:r w:rsidR="00875AC3">
        <w:t>s</w:t>
      </w:r>
      <w:r w:rsidR="00345AB4" w:rsidRPr="00F54941">
        <w:t xml:space="preserve"> of increasing A/E </w:t>
      </w:r>
      <w:r w:rsidR="00611195" w:rsidRPr="00F54941">
        <w:t xml:space="preserve">and decreasing average size </w:t>
      </w:r>
      <w:r w:rsidR="00345AB4" w:rsidRPr="00F54941">
        <w:t>as</w:t>
      </w:r>
      <w:r w:rsidR="00611195" w:rsidRPr="00F54941">
        <w:t xml:space="preserve"> preferred class increases</w:t>
      </w:r>
      <w:r w:rsidR="00875AC3">
        <w:t>, which are also</w:t>
      </w:r>
      <w:r w:rsidR="00345AB4" w:rsidRPr="00F54941">
        <w:t xml:space="preserve"> consistent with expectations.</w:t>
      </w:r>
      <w:r w:rsidR="009B7E3D">
        <w:t xml:space="preserve">  </w:t>
      </w:r>
      <w:r w:rsidR="00345AB4" w:rsidRPr="00F54941">
        <w:t xml:space="preserve">The cohort </w:t>
      </w:r>
      <w:r>
        <w:t xml:space="preserve">with the </w:t>
      </w:r>
      <w:r>
        <w:lastRenderedPageBreak/>
        <w:t>largest A/E is a non-s</w:t>
      </w:r>
      <w:r w:rsidR="00345AB4" w:rsidRPr="00F54941">
        <w:t>moker cohort (preferred class 2 out of 2 preferred classes).  This is inconsiste</w:t>
      </w:r>
      <w:r>
        <w:t>nt with the overall pattern of s</w:t>
      </w:r>
      <w:r w:rsidR="00345AB4" w:rsidRPr="00F54941">
        <w:t>moker policies having larg</w:t>
      </w:r>
      <w:r>
        <w:t>er A/E than non-s</w:t>
      </w:r>
      <w:r w:rsidR="00875AC3">
        <w:t>moker policies.</w:t>
      </w:r>
    </w:p>
    <w:p w14:paraId="6BF60CC5" w14:textId="77777777" w:rsidR="00BB7083" w:rsidRDefault="00215ED0" w:rsidP="00BB7083">
      <w:pPr>
        <w:keepNext/>
      </w:pPr>
      <w:r w:rsidRPr="00215ED0">
        <w:rPr>
          <w:noProof/>
        </w:rPr>
        <w:drawing>
          <wp:inline distT="0" distB="0" distL="0" distR="0" wp14:anchorId="76670365" wp14:editId="68FA3240">
            <wp:extent cx="6591300" cy="100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1300" cy="1009650"/>
                    </a:xfrm>
                    <a:prstGeom prst="rect">
                      <a:avLst/>
                    </a:prstGeom>
                    <a:noFill/>
                    <a:ln>
                      <a:noFill/>
                    </a:ln>
                  </pic:spPr>
                </pic:pic>
              </a:graphicData>
            </a:graphic>
          </wp:inline>
        </w:drawing>
      </w:r>
    </w:p>
    <w:p w14:paraId="3E958274" w14:textId="31A535F6" w:rsidR="00345AB4" w:rsidRDefault="00BB7083" w:rsidP="00BB7083">
      <w:pPr>
        <w:pStyle w:val="Caption"/>
        <w:rPr>
          <w:sz w:val="24"/>
          <w:szCs w:val="24"/>
        </w:rPr>
      </w:pPr>
      <w:r>
        <w:t xml:space="preserve">Figure </w:t>
      </w:r>
      <w:r w:rsidR="0054611A">
        <w:fldChar w:fldCharType="begin"/>
      </w:r>
      <w:r w:rsidR="0054611A">
        <w:instrText xml:space="preserve"> SEQ Figure \* ARABIC </w:instrText>
      </w:r>
      <w:r w:rsidR="0054611A">
        <w:fldChar w:fldCharType="separate"/>
      </w:r>
      <w:r w:rsidR="00540404">
        <w:rPr>
          <w:noProof/>
        </w:rPr>
        <w:t>9</w:t>
      </w:r>
      <w:r w:rsidR="0054611A">
        <w:rPr>
          <w:noProof/>
        </w:rPr>
        <w:fldChar w:fldCharType="end"/>
      </w:r>
      <w:r>
        <w:t>: Smoker Status Summary</w:t>
      </w:r>
    </w:p>
    <w:p w14:paraId="08BA6E1E" w14:textId="3A70ECCC" w:rsidR="00465BEA" w:rsidRPr="00F54941" w:rsidRDefault="009B7E3D" w:rsidP="002D7580">
      <w:pPr>
        <w:spacing w:after="0"/>
        <w:jc w:val="both"/>
      </w:pPr>
      <w:r>
        <w:t>The “UNKNOWN” cohort</w:t>
      </w:r>
      <w:r w:rsidR="00465BEA" w:rsidRPr="00F54941">
        <w:t xml:space="preserve"> ha</w:t>
      </w:r>
      <w:r>
        <w:t>s</w:t>
      </w:r>
      <w:r w:rsidR="00465BEA" w:rsidRPr="00F54941">
        <w:t xml:space="preserve"> an extremely low average size</w:t>
      </w:r>
      <w:r w:rsidR="0062575F">
        <w:t>,</w:t>
      </w:r>
      <w:r w:rsidR="00465BEA" w:rsidRPr="00F54941">
        <w:t xml:space="preserve"> which would suggest a much higher A/E than observed.  </w:t>
      </w:r>
      <w:r w:rsidR="00E22636">
        <w:t>This appears to be an inconsistency, as the</w:t>
      </w:r>
      <w:r w:rsidR="00465BEA" w:rsidRPr="00F54941">
        <w:t xml:space="preserve"> observed </w:t>
      </w:r>
      <w:r w:rsidR="00E22636">
        <w:t xml:space="preserve">trend </w:t>
      </w:r>
      <w:r w:rsidR="00465BEA" w:rsidRPr="00F54941">
        <w:t xml:space="preserve">is </w:t>
      </w:r>
      <w:r w:rsidR="00875AC3">
        <w:t xml:space="preserve">that </w:t>
      </w:r>
      <w:r w:rsidR="0062575F">
        <w:t xml:space="preserve">a </w:t>
      </w:r>
      <w:r w:rsidR="00465BEA" w:rsidRPr="00F54941">
        <w:t xml:space="preserve">lower face amount is consistent with </w:t>
      </w:r>
      <w:r w:rsidR="0062575F">
        <w:t xml:space="preserve">a </w:t>
      </w:r>
      <w:r w:rsidR="00465BEA" w:rsidRPr="00F54941">
        <w:t>higher A/E.</w:t>
      </w:r>
    </w:p>
    <w:p w14:paraId="731F1D6F" w14:textId="77777777" w:rsidR="00172CC5" w:rsidRDefault="00172CC5" w:rsidP="00172CC5">
      <w:pPr>
        <w:pStyle w:val="Heading1"/>
      </w:pPr>
      <w:r>
        <w:t xml:space="preserve">Section </w:t>
      </w:r>
      <w:r w:rsidR="00C53175">
        <w:t>I</w:t>
      </w:r>
      <w:r w:rsidR="00F54941">
        <w:t>X</w:t>
      </w:r>
      <w:r w:rsidRPr="00275E5C">
        <w:t xml:space="preserve">: </w:t>
      </w:r>
      <w:r>
        <w:t>Age Basis</w:t>
      </w:r>
    </w:p>
    <w:p w14:paraId="084A9F21" w14:textId="392EC80A" w:rsidR="001D7336" w:rsidRDefault="00B278FA" w:rsidP="001D7336">
      <w:pPr>
        <w:keepNext/>
      </w:pPr>
      <w:r w:rsidRPr="00B278FA">
        <w:rPr>
          <w:noProof/>
        </w:rPr>
        <w:drawing>
          <wp:inline distT="0" distB="0" distL="0" distR="0" wp14:anchorId="6166A521" wp14:editId="379254C5">
            <wp:extent cx="682942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9425" cy="809625"/>
                    </a:xfrm>
                    <a:prstGeom prst="rect">
                      <a:avLst/>
                    </a:prstGeom>
                    <a:noFill/>
                    <a:ln>
                      <a:noFill/>
                    </a:ln>
                  </pic:spPr>
                </pic:pic>
              </a:graphicData>
            </a:graphic>
          </wp:inline>
        </w:drawing>
      </w:r>
    </w:p>
    <w:p w14:paraId="5591BC36" w14:textId="566C7612" w:rsidR="00215ED0" w:rsidRDefault="00EF28F9" w:rsidP="001D7336">
      <w:pPr>
        <w:pStyle w:val="Caption"/>
        <w:rPr>
          <w:sz w:val="24"/>
          <w:szCs w:val="24"/>
        </w:rPr>
      </w:pPr>
      <w:r w:rsidRPr="007B6D45">
        <w:rPr>
          <w:noProof/>
        </w:rPr>
        <w:drawing>
          <wp:anchor distT="0" distB="0" distL="114300" distR="114300" simplePos="0" relativeHeight="251670528" behindDoc="0" locked="0" layoutInCell="1" allowOverlap="1" wp14:anchorId="71E8BA47" wp14:editId="17AC117C">
            <wp:simplePos x="0" y="0"/>
            <wp:positionH relativeFrom="column">
              <wp:posOffset>4247515</wp:posOffset>
            </wp:positionH>
            <wp:positionV relativeFrom="paragraph">
              <wp:posOffset>13970</wp:posOffset>
            </wp:positionV>
            <wp:extent cx="2494280" cy="1981200"/>
            <wp:effectExtent l="0" t="0" r="127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428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336">
        <w:t xml:space="preserve">Figure </w:t>
      </w:r>
      <w:r w:rsidR="0054611A">
        <w:fldChar w:fldCharType="begin"/>
      </w:r>
      <w:r w:rsidR="0054611A">
        <w:instrText xml:space="preserve"> SEQ Figure \* ARABIC </w:instrText>
      </w:r>
      <w:r w:rsidR="0054611A">
        <w:fldChar w:fldCharType="separate"/>
      </w:r>
      <w:r w:rsidR="00540404">
        <w:rPr>
          <w:noProof/>
        </w:rPr>
        <w:t>10</w:t>
      </w:r>
      <w:r w:rsidR="0054611A">
        <w:rPr>
          <w:noProof/>
        </w:rPr>
        <w:fldChar w:fldCharType="end"/>
      </w:r>
      <w:r w:rsidR="001D7336">
        <w:t>: Age Basis Summary</w:t>
      </w:r>
    </w:p>
    <w:p w14:paraId="3780AE59" w14:textId="5BFC4078" w:rsidR="006E2C4D" w:rsidRDefault="00D716CA" w:rsidP="006E2C4D">
      <w:pPr>
        <w:spacing w:after="0"/>
        <w:jc w:val="both"/>
      </w:pPr>
      <w:r w:rsidRPr="00F54941">
        <w:t>Policies using ALB have a higher A/E than ANB policies.  This dif</w:t>
      </w:r>
      <w:r w:rsidR="006E2C4D">
        <w:t xml:space="preserve">ference is substantial (~10%). </w:t>
      </w:r>
      <w:r w:rsidRPr="00F54941">
        <w:t>Average size is smaller for ALB policies, which is consistent with the higher A/E</w:t>
      </w:r>
      <w:r w:rsidR="00E22636">
        <w:t>.</w:t>
      </w:r>
      <w:r w:rsidR="006E2C4D">
        <w:t xml:space="preserve"> </w:t>
      </w:r>
    </w:p>
    <w:p w14:paraId="1A481134" w14:textId="54BABD56" w:rsidR="00D002E4" w:rsidRPr="00E22636" w:rsidRDefault="006E2C4D" w:rsidP="006E2C4D">
      <w:pPr>
        <w:spacing w:after="0"/>
        <w:jc w:val="both"/>
      </w:pPr>
      <w:r w:rsidRPr="00F54941">
        <w:t>To</w:t>
      </w:r>
      <w:r>
        <w:t xml:space="preserve"> confirm that the face a</w:t>
      </w:r>
      <w:r w:rsidR="00590918" w:rsidRPr="00F54941">
        <w:t xml:space="preserve">mount pattern we saw earlier wasn’t a result of </w:t>
      </w:r>
      <w:r>
        <w:t xml:space="preserve">an </w:t>
      </w:r>
      <w:r w:rsidR="00590918" w:rsidRPr="00F54941">
        <w:t xml:space="preserve">ANB/ALB mix, </w:t>
      </w:r>
      <w:r w:rsidR="007B6D45" w:rsidRPr="00F54941">
        <w:t>the data were sorted by face and age basis.  The results are</w:t>
      </w:r>
      <w:r>
        <w:t xml:space="preserve"> shown to the right</w:t>
      </w:r>
      <w:r w:rsidR="007B6D45" w:rsidRPr="00F54941">
        <w:t xml:space="preserve"> </w:t>
      </w:r>
      <w:r>
        <w:t>in Figure 11.</w:t>
      </w:r>
    </w:p>
    <w:p w14:paraId="2A037E82" w14:textId="77422B75" w:rsidR="007B6D45" w:rsidRPr="00F54941" w:rsidRDefault="00EF28F9" w:rsidP="006E2C4D">
      <w:pPr>
        <w:spacing w:after="0"/>
        <w:jc w:val="both"/>
      </w:pPr>
      <w:r>
        <w:rPr>
          <w:noProof/>
        </w:rPr>
        <mc:AlternateContent>
          <mc:Choice Requires="wps">
            <w:drawing>
              <wp:anchor distT="0" distB="0" distL="114300" distR="114300" simplePos="0" relativeHeight="251672576" behindDoc="0" locked="0" layoutInCell="1" allowOverlap="1" wp14:anchorId="135DA259" wp14:editId="5FA76A98">
                <wp:simplePos x="0" y="0"/>
                <wp:positionH relativeFrom="column">
                  <wp:posOffset>4237990</wp:posOffset>
                </wp:positionH>
                <wp:positionV relativeFrom="paragraph">
                  <wp:posOffset>570865</wp:posOffset>
                </wp:positionV>
                <wp:extent cx="249428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94280" cy="635"/>
                        </a:xfrm>
                        <a:prstGeom prst="rect">
                          <a:avLst/>
                        </a:prstGeom>
                        <a:solidFill>
                          <a:prstClr val="white"/>
                        </a:solidFill>
                        <a:ln>
                          <a:noFill/>
                        </a:ln>
                      </wps:spPr>
                      <wps:txbx>
                        <w:txbxContent>
                          <w:p w14:paraId="5BEF856E" w14:textId="6996705F" w:rsidR="008B320B" w:rsidRPr="001164C5" w:rsidRDefault="008B320B" w:rsidP="00024171">
                            <w:pPr>
                              <w:pStyle w:val="Caption"/>
                              <w:rPr>
                                <w:noProof/>
                              </w:rPr>
                            </w:pPr>
                            <w:r>
                              <w:t xml:space="preserve">Figure </w:t>
                            </w:r>
                            <w:r w:rsidR="0054611A">
                              <w:fldChar w:fldCharType="begin"/>
                            </w:r>
                            <w:r w:rsidR="0054611A">
                              <w:instrText xml:space="preserve"> SEQ Figure \* ARABIC </w:instrText>
                            </w:r>
                            <w:r w:rsidR="0054611A">
                              <w:fldChar w:fldCharType="separate"/>
                            </w:r>
                            <w:r w:rsidR="00540404">
                              <w:rPr>
                                <w:noProof/>
                              </w:rPr>
                              <w:t>11</w:t>
                            </w:r>
                            <w:r w:rsidR="0054611A">
                              <w:rPr>
                                <w:noProof/>
                              </w:rPr>
                              <w:fldChar w:fldCharType="end"/>
                            </w:r>
                            <w:r>
                              <w:t>: Face Amount Band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DA259" id="Text Box 25" o:spid="_x0000_s1031" type="#_x0000_t202" style="position:absolute;left:0;text-align:left;margin-left:333.7pt;margin-top:44.95pt;width:196.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j1MAIAAGYEAAAOAAAAZHJzL2Uyb0RvYy54bWysVMFu2zAMvQ/YPwi6L06yrmi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" stroked="f">
                <v:textbox style="mso-fit-shape-to-text:t" inset="0,0,0,0">
                  <w:txbxContent>
                    <w:p w14:paraId="5BEF856E" w14:textId="6996705F" w:rsidR="008B320B" w:rsidRPr="001164C5" w:rsidRDefault="008B320B" w:rsidP="00024171">
                      <w:pPr>
                        <w:pStyle w:val="Caption"/>
                        <w:rPr>
                          <w:noProof/>
                        </w:rPr>
                      </w:pPr>
                      <w:r>
                        <w:t xml:space="preserve">Figure </w:t>
                      </w:r>
                      <w:fldSimple w:instr=" SEQ Figure \* ARABIC ">
                        <w:r w:rsidR="00540404">
                          <w:rPr>
                            <w:noProof/>
                          </w:rPr>
                          <w:t>11</w:t>
                        </w:r>
                      </w:fldSimple>
                      <w:r>
                        <w:t>: Face Amount Band Summary</w:t>
                      </w:r>
                    </w:p>
                  </w:txbxContent>
                </v:textbox>
                <w10:wrap type="square"/>
              </v:shape>
            </w:pict>
          </mc:Fallback>
        </mc:AlternateContent>
      </w:r>
      <w:r w:rsidR="007B6D45" w:rsidRPr="00F54941">
        <w:t>As the table shows, the pattern of decreasing A/E by increasing face</w:t>
      </w:r>
      <w:r w:rsidR="00E40D74">
        <w:t xml:space="preserve"> amount</w:t>
      </w:r>
      <w:r w:rsidR="007B6D45" w:rsidRPr="00F54941">
        <w:t xml:space="preserve"> appears in both the ANB and ALB groups.  This indicates the pattern is not a result of changing </w:t>
      </w:r>
      <w:r w:rsidR="00E40D74">
        <w:t xml:space="preserve">the </w:t>
      </w:r>
      <w:r w:rsidR="007B6D45" w:rsidRPr="00F54941">
        <w:t xml:space="preserve">age basis </w:t>
      </w:r>
      <w:r w:rsidR="00E40D74" w:rsidRPr="00F54941">
        <w:t>mix and</w:t>
      </w:r>
      <w:r w:rsidR="007B6D45" w:rsidRPr="00F54941">
        <w:t xml:space="preserve"> supports the claim that A/E decreases with increasing size.</w:t>
      </w:r>
    </w:p>
    <w:p w14:paraId="55138525" w14:textId="71CBE486" w:rsidR="00172CC5" w:rsidRDefault="00172CC5" w:rsidP="00172CC5">
      <w:pPr>
        <w:pStyle w:val="Heading1"/>
      </w:pPr>
      <w:r>
        <w:t xml:space="preserve">Section </w:t>
      </w:r>
      <w:r w:rsidR="00F54941">
        <w:t>X</w:t>
      </w:r>
      <w:r w:rsidRPr="00275E5C">
        <w:t xml:space="preserve">: </w:t>
      </w:r>
      <w:r w:rsidR="00B62CF7">
        <w:t>Gender, Preferred Indicator, Common Company Indicator</w:t>
      </w:r>
    </w:p>
    <w:p w14:paraId="08078A98" w14:textId="77777777" w:rsidR="00024171" w:rsidRDefault="001D6BB1" w:rsidP="00024171">
      <w:pPr>
        <w:keepNext/>
        <w:jc w:val="center"/>
      </w:pPr>
      <w:r w:rsidRPr="001D6BB1">
        <w:rPr>
          <w:noProof/>
        </w:rPr>
        <w:drawing>
          <wp:inline distT="0" distB="0" distL="0" distR="0" wp14:anchorId="7C0FE911" wp14:editId="096D3281">
            <wp:extent cx="6858000" cy="7663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766334"/>
                    </a:xfrm>
                    <a:prstGeom prst="rect">
                      <a:avLst/>
                    </a:prstGeom>
                    <a:noFill/>
                    <a:ln>
                      <a:noFill/>
                    </a:ln>
                  </pic:spPr>
                </pic:pic>
              </a:graphicData>
            </a:graphic>
          </wp:inline>
        </w:drawing>
      </w:r>
    </w:p>
    <w:p w14:paraId="1B48E557" w14:textId="055CD384" w:rsidR="001D6BB1" w:rsidRDefault="00024171" w:rsidP="00024171">
      <w:pPr>
        <w:pStyle w:val="Caption"/>
        <w:rPr>
          <w:b/>
          <w:sz w:val="24"/>
          <w:szCs w:val="24"/>
        </w:rPr>
      </w:pPr>
      <w:r>
        <w:t xml:space="preserve">Figure </w:t>
      </w:r>
      <w:r w:rsidR="0054611A">
        <w:fldChar w:fldCharType="begin"/>
      </w:r>
      <w:r w:rsidR="0054611A">
        <w:instrText xml:space="preserve"> </w:instrText>
      </w:r>
      <w:r w:rsidR="0054611A">
        <w:instrText xml:space="preserve">SEQ Figure \* ARABIC </w:instrText>
      </w:r>
      <w:r w:rsidR="0054611A">
        <w:fldChar w:fldCharType="separate"/>
      </w:r>
      <w:r w:rsidR="00540404">
        <w:rPr>
          <w:noProof/>
        </w:rPr>
        <w:t>12</w:t>
      </w:r>
      <w:r w:rsidR="0054611A">
        <w:rPr>
          <w:noProof/>
        </w:rPr>
        <w:fldChar w:fldCharType="end"/>
      </w:r>
      <w:r>
        <w:t>: Common Company Indicator Summary</w:t>
      </w:r>
    </w:p>
    <w:p w14:paraId="56930323" w14:textId="77777777" w:rsidR="001D6BB1" w:rsidRDefault="001D6BB1" w:rsidP="00024171">
      <w:pPr>
        <w:spacing w:after="0"/>
        <w:jc w:val="both"/>
      </w:pPr>
      <w:r w:rsidRPr="00F54941">
        <w:t xml:space="preserve">Over 98% of the business is Common Company Indicator 1.  This means nearly </w:t>
      </w:r>
      <w:proofErr w:type="gramStart"/>
      <w:r w:rsidRPr="00F54941">
        <w:t>all of</w:t>
      </w:r>
      <w:proofErr w:type="gramEnd"/>
      <w:r w:rsidRPr="00F54941">
        <w:t xml:space="preserve"> the data is from companies that participated in at least 5 of the 7 observation years (2009-2015).</w:t>
      </w:r>
    </w:p>
    <w:p w14:paraId="7A7DAFCB" w14:textId="77777777" w:rsidR="00EF28F9" w:rsidRDefault="001E0987" w:rsidP="00EF28F9">
      <w:pPr>
        <w:keepNext/>
      </w:pPr>
      <w:r w:rsidRPr="001E0987">
        <w:rPr>
          <w:noProof/>
        </w:rPr>
        <w:lastRenderedPageBreak/>
        <w:drawing>
          <wp:inline distT="0" distB="0" distL="0" distR="0" wp14:anchorId="3D37461F" wp14:editId="0C89E324">
            <wp:extent cx="6858000" cy="7663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766334"/>
                    </a:xfrm>
                    <a:prstGeom prst="rect">
                      <a:avLst/>
                    </a:prstGeom>
                    <a:noFill/>
                    <a:ln>
                      <a:noFill/>
                    </a:ln>
                  </pic:spPr>
                </pic:pic>
              </a:graphicData>
            </a:graphic>
          </wp:inline>
        </w:drawing>
      </w:r>
    </w:p>
    <w:p w14:paraId="5EEC37A3" w14:textId="45EEC7AD" w:rsidR="001E0987" w:rsidRDefault="00EF28F9" w:rsidP="00EF28F9">
      <w:pPr>
        <w:pStyle w:val="Caption"/>
        <w:rPr>
          <w:sz w:val="24"/>
          <w:szCs w:val="24"/>
        </w:rPr>
      </w:pPr>
      <w:r>
        <w:t xml:space="preserve">Figure </w:t>
      </w:r>
      <w:r w:rsidR="0054611A">
        <w:fldChar w:fldCharType="begin"/>
      </w:r>
      <w:r w:rsidR="0054611A">
        <w:instrText xml:space="preserve"> SEQ Figure \* ARABIC </w:instrText>
      </w:r>
      <w:r w:rsidR="0054611A">
        <w:fldChar w:fldCharType="separate"/>
      </w:r>
      <w:r w:rsidR="00540404">
        <w:rPr>
          <w:noProof/>
        </w:rPr>
        <w:t>13</w:t>
      </w:r>
      <w:r w:rsidR="0054611A">
        <w:rPr>
          <w:noProof/>
        </w:rPr>
        <w:fldChar w:fldCharType="end"/>
      </w:r>
      <w:r>
        <w:t>: Preferred Indicator Summary</w:t>
      </w:r>
    </w:p>
    <w:p w14:paraId="271F52FD" w14:textId="77777777" w:rsidR="00172CC5" w:rsidRDefault="001E0987" w:rsidP="00EF28F9">
      <w:pPr>
        <w:spacing w:after="0"/>
        <w:jc w:val="both"/>
      </w:pPr>
      <w:r w:rsidRPr="00F54941">
        <w:t xml:space="preserve">Policies that were submitted into a preferred class structure have much larger average sizes and lower A/E ratios.  Policies not submitted into a preferred class structure make up 61% of exposure by count but 90% of actual and expected deaths by count.  </w:t>
      </w:r>
      <w:r w:rsidR="00A33ED3">
        <w:t>This is consistent with the expectation that preferred p</w:t>
      </w:r>
      <w:r w:rsidR="00D57583">
        <w:t xml:space="preserve">olicies will be healthier. </w:t>
      </w:r>
    </w:p>
    <w:p w14:paraId="77BF8787" w14:textId="70C63D92" w:rsidR="00D002E4" w:rsidRPr="00D57583" w:rsidRDefault="00D57583" w:rsidP="00EF28F9">
      <w:pPr>
        <w:spacing w:after="0"/>
        <w:jc w:val="both"/>
      </w:pPr>
      <w:r>
        <w:t>The diff</w:t>
      </w:r>
      <w:r w:rsidR="00791BCD">
        <w:t>erence between count and dollar-</w:t>
      </w:r>
      <w:r>
        <w:t>weighted A/E</w:t>
      </w:r>
      <w:r w:rsidR="00791BCD">
        <w:t xml:space="preserve"> ratio</w:t>
      </w:r>
      <w:r>
        <w:t>s is 0.17</w:t>
      </w:r>
      <w:r w:rsidR="00791BCD">
        <w:t>,</w:t>
      </w:r>
      <w:r>
        <w:t xml:space="preserve"> which is </w:t>
      </w:r>
      <w:r w:rsidR="00791BCD">
        <w:t xml:space="preserve">much </w:t>
      </w:r>
      <w:r>
        <w:t>g</w:t>
      </w:r>
      <w:r w:rsidR="00791BCD">
        <w:t xml:space="preserve">reater than the .06 difference in the Standard Cohort. </w:t>
      </w:r>
      <w:r>
        <w:t>This suggests more rigorous underwriting on hi</w:t>
      </w:r>
      <w:r w:rsidR="00791BCD">
        <w:t>gh-</w:t>
      </w:r>
      <w:r>
        <w:t>doll</w:t>
      </w:r>
      <w:r w:rsidR="00791BCD">
        <w:t>ar Preferred policies than high-</w:t>
      </w:r>
      <w:r>
        <w:t xml:space="preserve">dollar Standard </w:t>
      </w:r>
      <w:r w:rsidR="00EF3820">
        <w:t>policies</w:t>
      </w:r>
      <w:r>
        <w:t>.</w:t>
      </w:r>
    </w:p>
    <w:p w14:paraId="465EE3F2" w14:textId="77777777" w:rsidR="00791BCD" w:rsidRDefault="00B4527F" w:rsidP="00791BCD">
      <w:pPr>
        <w:keepNext/>
      </w:pPr>
      <w:r w:rsidRPr="00B4527F">
        <w:rPr>
          <w:noProof/>
        </w:rPr>
        <w:drawing>
          <wp:inline distT="0" distB="0" distL="0" distR="0" wp14:anchorId="20DB8152" wp14:editId="1FFCE4D5">
            <wp:extent cx="6858000" cy="76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766334"/>
                    </a:xfrm>
                    <a:prstGeom prst="rect">
                      <a:avLst/>
                    </a:prstGeom>
                    <a:noFill/>
                    <a:ln>
                      <a:noFill/>
                    </a:ln>
                  </pic:spPr>
                </pic:pic>
              </a:graphicData>
            </a:graphic>
          </wp:inline>
        </w:drawing>
      </w:r>
    </w:p>
    <w:p w14:paraId="084D43C7" w14:textId="34311386" w:rsidR="00B4527F" w:rsidRDefault="00791BCD" w:rsidP="00791BCD">
      <w:pPr>
        <w:pStyle w:val="Caption"/>
      </w:pPr>
      <w:r>
        <w:t xml:space="preserve">Figure </w:t>
      </w:r>
      <w:r w:rsidR="0054611A">
        <w:fldChar w:fldCharType="begin"/>
      </w:r>
      <w:r w:rsidR="0054611A">
        <w:instrText xml:space="preserve"> SEQ Figure \* ARABIC </w:instrText>
      </w:r>
      <w:r w:rsidR="0054611A">
        <w:fldChar w:fldCharType="separate"/>
      </w:r>
      <w:r w:rsidR="00540404">
        <w:rPr>
          <w:noProof/>
        </w:rPr>
        <w:t>14</w:t>
      </w:r>
      <w:r w:rsidR="0054611A">
        <w:rPr>
          <w:noProof/>
        </w:rPr>
        <w:fldChar w:fldCharType="end"/>
      </w:r>
      <w:r>
        <w:t>: Gender Summary</w:t>
      </w:r>
    </w:p>
    <w:p w14:paraId="172DDF65" w14:textId="0428D56A" w:rsidR="00B4527F" w:rsidRDefault="00D57583" w:rsidP="00791BCD">
      <w:pPr>
        <w:spacing w:after="0"/>
        <w:jc w:val="both"/>
      </w:pPr>
      <w:r>
        <w:t>Distribution by gender is even by count.  Males have a larger average size</w:t>
      </w:r>
      <w:r w:rsidR="006A1163">
        <w:t>,</w:t>
      </w:r>
      <w:r>
        <w:t xml:space="preserve"> which is consistent with the higher proportion by amount</w:t>
      </w:r>
      <w:r w:rsidR="004C2771">
        <w:t>.  Group A/E ratios are nearly ide</w:t>
      </w:r>
      <w:r w:rsidR="006A1163">
        <w:t>ntical, as expected with gender-</w:t>
      </w:r>
      <w:r w:rsidR="004C2771">
        <w:t>specific tables.  Males had a higher portion of (expected) deaths than exposure while females had a lower portion.  This is consistent with expectations.</w:t>
      </w:r>
    </w:p>
    <w:p w14:paraId="55DFDEB6" w14:textId="1721F97F" w:rsidR="00D301D8" w:rsidRDefault="00D301D8" w:rsidP="00D301D8">
      <w:pPr>
        <w:pStyle w:val="Heading1"/>
      </w:pPr>
      <w:r>
        <w:t>Section XI</w:t>
      </w:r>
      <w:r w:rsidRPr="00275E5C">
        <w:t xml:space="preserve">: </w:t>
      </w:r>
      <w:r w:rsidR="00383184">
        <w:t>Attained Age</w:t>
      </w:r>
    </w:p>
    <w:p w14:paraId="086FCEBA" w14:textId="5AC60179" w:rsidR="00AC535F" w:rsidRDefault="00AC535F" w:rsidP="00C71E18">
      <w:pPr>
        <w:spacing w:after="0"/>
        <w:jc w:val="both"/>
      </w:pPr>
      <w:r>
        <w:t xml:space="preserve">Distribution by attained age is summarized in </w:t>
      </w:r>
      <w:r w:rsidR="00C71E18">
        <w:t>Figure 15</w:t>
      </w:r>
      <w:r>
        <w:t xml:space="preserve"> and is consistent with expectations.</w:t>
      </w:r>
    </w:p>
    <w:p w14:paraId="79D3291B" w14:textId="4682AD15" w:rsidR="00AC535F" w:rsidRDefault="00685464" w:rsidP="00C71E18">
      <w:pPr>
        <w:spacing w:after="0"/>
        <w:jc w:val="both"/>
      </w:pPr>
      <w:r>
        <w:rPr>
          <w:noProof/>
        </w:rPr>
        <w:drawing>
          <wp:anchor distT="0" distB="0" distL="114300" distR="114300" simplePos="0" relativeHeight="251673600" behindDoc="0" locked="0" layoutInCell="1" allowOverlap="1" wp14:anchorId="43E38224" wp14:editId="2069ED57">
            <wp:simplePos x="0" y="0"/>
            <wp:positionH relativeFrom="margin">
              <wp:align>right</wp:align>
            </wp:positionH>
            <wp:positionV relativeFrom="paragraph">
              <wp:posOffset>14605</wp:posOffset>
            </wp:positionV>
            <wp:extent cx="3514725" cy="2257425"/>
            <wp:effectExtent l="19050" t="19050" r="28575" b="285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4725" cy="2257425"/>
                    </a:xfrm>
                    <a:prstGeom prst="rect">
                      <a:avLst/>
                    </a:prstGeom>
                    <a:noFill/>
                    <a:ln w="12700">
                      <a:solidFill>
                        <a:schemeClr val="accent1"/>
                      </a:solidFill>
                    </a:ln>
                  </pic:spPr>
                </pic:pic>
              </a:graphicData>
            </a:graphic>
            <wp14:sizeRelH relativeFrom="margin">
              <wp14:pctWidth>0</wp14:pctWidth>
            </wp14:sizeRelH>
            <wp14:sizeRelV relativeFrom="margin">
              <wp14:pctHeight>0</wp14:pctHeight>
            </wp14:sizeRelV>
          </wp:anchor>
        </w:drawing>
      </w:r>
      <w:r w:rsidR="00E05676">
        <w:t>Consistency examples</w:t>
      </w:r>
      <w:r w:rsidR="00AC535F">
        <w:t>:</w:t>
      </w:r>
    </w:p>
    <w:p w14:paraId="34DCECE4" w14:textId="77777777" w:rsidR="00AC535F" w:rsidRDefault="00E05676" w:rsidP="00C71E18">
      <w:pPr>
        <w:pStyle w:val="ListParagraph"/>
        <w:numPr>
          <w:ilvl w:val="0"/>
          <w:numId w:val="21"/>
        </w:numPr>
      </w:pPr>
      <w:r>
        <w:t>Distribution of Actual</w:t>
      </w:r>
      <w:r w:rsidR="00AC535F">
        <w:t xml:space="preserve"> Deaths is near</w:t>
      </w:r>
      <w:r>
        <w:t>ly identical to distribution of Expected</w:t>
      </w:r>
      <w:r w:rsidR="00AC535F">
        <w:t xml:space="preserve"> Deaths</w:t>
      </w:r>
      <w:r>
        <w:t xml:space="preserve"> (Count and Amount)</w:t>
      </w:r>
      <w:r w:rsidR="00AC535F">
        <w:t>.</w:t>
      </w:r>
    </w:p>
    <w:p w14:paraId="1A78B8E1" w14:textId="77777777" w:rsidR="00AC535F" w:rsidRDefault="00AC535F" w:rsidP="00C71E18">
      <w:pPr>
        <w:pStyle w:val="ListParagraph"/>
        <w:numPr>
          <w:ilvl w:val="0"/>
          <w:numId w:val="21"/>
        </w:numPr>
      </w:pPr>
      <w:r>
        <w:t>Exposure is sk</w:t>
      </w:r>
      <w:r w:rsidR="00E05676">
        <w:t>ewed younger than deaths (C</w:t>
      </w:r>
      <w:r>
        <w:t xml:space="preserve">ount and </w:t>
      </w:r>
      <w:r w:rsidR="00E05676">
        <w:t>A</w:t>
      </w:r>
      <w:r>
        <w:t>mount).</w:t>
      </w:r>
    </w:p>
    <w:p w14:paraId="24593F3F" w14:textId="77777777" w:rsidR="00E05676" w:rsidRDefault="00E05676" w:rsidP="00C71E18">
      <w:pPr>
        <w:pStyle w:val="ListParagraph"/>
        <w:numPr>
          <w:ilvl w:val="0"/>
          <w:numId w:val="21"/>
        </w:numPr>
      </w:pPr>
      <w:r>
        <w:t>Exposure by Count is more widely dispersed than exposure by Amount.</w:t>
      </w:r>
    </w:p>
    <w:p w14:paraId="0EDC0D83" w14:textId="7CB44F06" w:rsidR="00E05676" w:rsidRDefault="002034E4" w:rsidP="00C71E18">
      <w:pPr>
        <w:jc w:val="both"/>
      </w:pPr>
      <w:r>
        <w:rPr>
          <w:noProof/>
        </w:rPr>
        <mc:AlternateContent>
          <mc:Choice Requires="wps">
            <w:drawing>
              <wp:anchor distT="0" distB="0" distL="114300" distR="114300" simplePos="0" relativeHeight="251675648" behindDoc="0" locked="0" layoutInCell="1" allowOverlap="1" wp14:anchorId="03D8F40C" wp14:editId="50201C2F">
                <wp:simplePos x="0" y="0"/>
                <wp:positionH relativeFrom="margin">
                  <wp:align>right</wp:align>
                </wp:positionH>
                <wp:positionV relativeFrom="paragraph">
                  <wp:posOffset>591820</wp:posOffset>
                </wp:positionV>
                <wp:extent cx="35433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47ED0E9B" w14:textId="280576C0" w:rsidR="008B320B" w:rsidRPr="004E0B97" w:rsidRDefault="008B320B" w:rsidP="00C71E18">
                            <w:pPr>
                              <w:pStyle w:val="Caption"/>
                              <w:rPr>
                                <w:noProof/>
                              </w:rPr>
                            </w:pPr>
                            <w:r>
                              <w:t xml:space="preserve">Figure </w:t>
                            </w:r>
                            <w:r w:rsidR="0054611A">
                              <w:fldChar w:fldCharType="begin"/>
                            </w:r>
                            <w:r w:rsidR="0054611A">
                              <w:instrText xml:space="preserve"> SEQ Figure \* ARABIC </w:instrText>
                            </w:r>
                            <w:r w:rsidR="0054611A">
                              <w:fldChar w:fldCharType="separate"/>
                            </w:r>
                            <w:r w:rsidR="00540404">
                              <w:rPr>
                                <w:noProof/>
                              </w:rPr>
                              <w:t>15</w:t>
                            </w:r>
                            <w:r w:rsidR="0054611A">
                              <w:rPr>
                                <w:noProof/>
                              </w:rPr>
                              <w:fldChar w:fldCharType="end"/>
                            </w:r>
                            <w:r>
                              <w:t>: Age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D8F40C" id="Text Box 26" o:spid="_x0000_s1032" type="#_x0000_t202" style="position:absolute;left:0;text-align:left;margin-left:227.8pt;margin-top:46.6pt;width:279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kBLg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" stroked="f">
                <v:textbox style="mso-fit-shape-to-text:t" inset="0,0,0,0">
                  <w:txbxContent>
                    <w:p w14:paraId="47ED0E9B" w14:textId="280576C0" w:rsidR="008B320B" w:rsidRPr="004E0B97" w:rsidRDefault="008B320B" w:rsidP="00C71E18">
                      <w:pPr>
                        <w:pStyle w:val="Caption"/>
                        <w:rPr>
                          <w:noProof/>
                        </w:rPr>
                      </w:pPr>
                      <w:r>
                        <w:t xml:space="preserve">Figure </w:t>
                      </w:r>
                      <w:fldSimple w:instr=" SEQ Figure \* ARABIC ">
                        <w:r w:rsidR="00540404">
                          <w:rPr>
                            <w:noProof/>
                          </w:rPr>
                          <w:t>15</w:t>
                        </w:r>
                      </w:fldSimple>
                      <w:r>
                        <w:t>: Age Distribution</w:t>
                      </w:r>
                    </w:p>
                  </w:txbxContent>
                </v:textbox>
                <w10:wrap type="square" anchorx="margin"/>
              </v:shape>
            </w:pict>
          </mc:Fallback>
        </mc:AlternateContent>
      </w:r>
      <w:r w:rsidR="00AC535F">
        <w:t>It is interesting to note the two peaks in the distribution of (expected) number of deaths.  This is consistent with some</w:t>
      </w:r>
      <w:r w:rsidR="00D65773">
        <w:t xml:space="preserve"> of the results from the analysi</w:t>
      </w:r>
      <w:r w:rsidR="00AC535F">
        <w:t>s by plan type where we saw certain plan types had very large face amounts at these older ages.</w:t>
      </w:r>
    </w:p>
    <w:p w14:paraId="036E8070" w14:textId="5AAF09D6" w:rsidR="00FE460B" w:rsidRPr="00D301D8" w:rsidRDefault="00F01DC1" w:rsidP="00F01DC1">
      <w:pPr>
        <w:jc w:val="both"/>
      </w:pPr>
      <w:r>
        <w:rPr>
          <w:noProof/>
        </w:rPr>
        <w:lastRenderedPageBreak/>
        <mc:AlternateContent>
          <mc:Choice Requires="wps">
            <w:drawing>
              <wp:anchor distT="0" distB="0" distL="114300" distR="114300" simplePos="0" relativeHeight="251678720" behindDoc="0" locked="0" layoutInCell="1" allowOverlap="1" wp14:anchorId="6442C763" wp14:editId="4D352A17">
                <wp:simplePos x="0" y="0"/>
                <wp:positionH relativeFrom="margin">
                  <wp:align>left</wp:align>
                </wp:positionH>
                <wp:positionV relativeFrom="paragraph">
                  <wp:posOffset>2348230</wp:posOffset>
                </wp:positionV>
                <wp:extent cx="382905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829050" cy="635"/>
                        </a:xfrm>
                        <a:prstGeom prst="rect">
                          <a:avLst/>
                        </a:prstGeom>
                        <a:noFill/>
                        <a:ln>
                          <a:noFill/>
                        </a:ln>
                      </wps:spPr>
                      <wps:txbx>
                        <w:txbxContent>
                          <w:p w14:paraId="14C82A0D" w14:textId="0B45C656" w:rsidR="008B320B" w:rsidRPr="00B235A9" w:rsidRDefault="008B320B" w:rsidP="00F01DC1">
                            <w:pPr>
                              <w:pStyle w:val="Caption"/>
                              <w:rPr>
                                <w:noProof/>
                              </w:rPr>
                            </w:pPr>
                            <w:r>
                              <w:t xml:space="preserve">Figure </w:t>
                            </w:r>
                            <w:r w:rsidR="0054611A">
                              <w:fldChar w:fldCharType="begin"/>
                            </w:r>
                            <w:r w:rsidR="0054611A">
                              <w:instrText xml:space="preserve"> SEQ Figure \* ARABIC </w:instrText>
                            </w:r>
                            <w:r w:rsidR="0054611A">
                              <w:fldChar w:fldCharType="separate"/>
                            </w:r>
                            <w:r w:rsidR="00540404">
                              <w:rPr>
                                <w:noProof/>
                              </w:rPr>
                              <w:t>16</w:t>
                            </w:r>
                            <w:r w:rsidR="0054611A">
                              <w:rPr>
                                <w:noProof/>
                              </w:rPr>
                              <w:fldChar w:fldCharType="end"/>
                            </w:r>
                            <w:r>
                              <w:t>: Attained Age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2C763" id="Text Box 27" o:spid="_x0000_s1033" type="#_x0000_t202" style="position:absolute;left:0;text-align:left;margin-left:0;margin-top:184.9pt;width:301.5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" filled="f" stroked="f">
                <v:textbox style="mso-fit-shape-to-text:t" inset="0,0,0,0">
                  <w:txbxContent>
                    <w:p w14:paraId="14C82A0D" w14:textId="0B45C656" w:rsidR="008B320B" w:rsidRPr="00B235A9" w:rsidRDefault="008B320B" w:rsidP="00F01DC1">
                      <w:pPr>
                        <w:pStyle w:val="Caption"/>
                        <w:rPr>
                          <w:noProof/>
                        </w:rPr>
                      </w:pPr>
                      <w:r>
                        <w:t xml:space="preserve">Figure </w:t>
                      </w:r>
                      <w:r w:rsidR="0054611A">
                        <w:fldChar w:fldCharType="begin"/>
                      </w:r>
                      <w:r w:rsidR="0054611A">
                        <w:instrText xml:space="preserve"> SEQ Figure \* ARABIC </w:instrText>
                      </w:r>
                      <w:r w:rsidR="0054611A">
                        <w:fldChar w:fldCharType="separate"/>
                      </w:r>
                      <w:r w:rsidR="00540404">
                        <w:rPr>
                          <w:noProof/>
                        </w:rPr>
                        <w:t>16</w:t>
                      </w:r>
                      <w:r w:rsidR="0054611A">
                        <w:rPr>
                          <w:noProof/>
                        </w:rPr>
                        <w:fldChar w:fldCharType="end"/>
                      </w:r>
                      <w:r>
                        <w:t>: Attained Age Summary</w:t>
                      </w:r>
                    </w:p>
                  </w:txbxContent>
                </v:textbox>
                <w10:wrap type="square" anchorx="margin"/>
              </v:shape>
            </w:pict>
          </mc:Fallback>
        </mc:AlternateContent>
      </w:r>
      <w:r>
        <w:rPr>
          <w:noProof/>
        </w:rPr>
        <w:drawing>
          <wp:anchor distT="0" distB="0" distL="114300" distR="114300" simplePos="0" relativeHeight="251676672" behindDoc="0" locked="0" layoutInCell="1" allowOverlap="1" wp14:anchorId="2BB76ED5" wp14:editId="697803D2">
            <wp:simplePos x="0" y="0"/>
            <wp:positionH relativeFrom="column">
              <wp:posOffset>-9525</wp:posOffset>
            </wp:positionH>
            <wp:positionV relativeFrom="paragraph">
              <wp:posOffset>24130</wp:posOffset>
            </wp:positionV>
            <wp:extent cx="3829050" cy="23050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2305050"/>
                    </a:xfrm>
                    <a:prstGeom prst="rect">
                      <a:avLst/>
                    </a:prstGeom>
                    <a:noFill/>
                    <a:ln w="12700">
                      <a:solidFill>
                        <a:schemeClr val="accent1"/>
                      </a:solidFill>
                    </a:ln>
                  </pic:spPr>
                </pic:pic>
              </a:graphicData>
            </a:graphic>
          </wp:anchor>
        </w:drawing>
      </w:r>
      <w:r w:rsidR="00D65773">
        <w:t>Figure 16</w:t>
      </w:r>
      <w:r w:rsidR="00E05676">
        <w:t xml:space="preserve"> summarizes A/E (pre and post</w:t>
      </w:r>
      <w:r w:rsidR="008008E2">
        <w:t>-</w:t>
      </w:r>
      <w:r w:rsidR="00E05676">
        <w:t>credibility weighting) by attained age.</w:t>
      </w:r>
      <w:r w:rsidR="002034E4">
        <w:t xml:space="preserve"> </w:t>
      </w:r>
      <w:r w:rsidR="00E05676">
        <w:t xml:space="preserve">Extreme ages (both high and low) appear to be inconsistent with other ages and expectations. These extreme ages are also the areas of least </w:t>
      </w:r>
      <w:r w:rsidR="008008E2">
        <w:t>credibility since</w:t>
      </w:r>
      <w:r w:rsidR="0019202E">
        <w:t xml:space="preserve"> this</w:t>
      </w:r>
      <w:r>
        <w:t xml:space="preserve"> is where the 2 lines diverge. </w:t>
      </w:r>
      <w:r w:rsidR="0019202E">
        <w:t>The patterns, however, suggest something more than just high variance associated with low frequency.</w:t>
      </w:r>
      <w:r w:rsidR="002034E4" w:rsidRPr="002034E4">
        <w:rPr>
          <w:noProof/>
        </w:rPr>
        <w:t xml:space="preserve"> </w:t>
      </w:r>
      <w:r w:rsidR="0019202E">
        <w:t>Older ages are all very low.  This may suggest some death</w:t>
      </w:r>
      <w:r>
        <w:t xml:space="preserve">s that have not been reported. </w:t>
      </w:r>
      <w:r w:rsidR="0019202E">
        <w:t>The reason behind the large ratios at lower ages is more difficult to explain</w:t>
      </w:r>
      <w:r>
        <w:t xml:space="preserve"> without further investigation</w:t>
      </w:r>
      <w:r w:rsidR="0019202E">
        <w:t>.</w:t>
      </w:r>
      <w:r w:rsidR="002034E4" w:rsidRPr="002034E4">
        <w:rPr>
          <w:noProof/>
        </w:rPr>
        <w:t xml:space="preserve"> </w:t>
      </w:r>
    </w:p>
    <w:p w14:paraId="4141F3FF" w14:textId="081949E9" w:rsidR="00731FB8" w:rsidRDefault="0054611A" w:rsidP="00731FB8">
      <w:pPr>
        <w:pStyle w:val="Heading1"/>
      </w:pPr>
      <w:r>
        <w:rPr>
          <w:noProof/>
        </w:rPr>
        <w:drawing>
          <wp:anchor distT="0" distB="0" distL="114300" distR="114300" simplePos="0" relativeHeight="251679744" behindDoc="0" locked="0" layoutInCell="1" allowOverlap="1" wp14:anchorId="2946CFC5" wp14:editId="74273ECD">
            <wp:simplePos x="0" y="0"/>
            <wp:positionH relativeFrom="margin">
              <wp:posOffset>3448050</wp:posOffset>
            </wp:positionH>
            <wp:positionV relativeFrom="paragraph">
              <wp:posOffset>329936</wp:posOffset>
            </wp:positionV>
            <wp:extent cx="3383280" cy="2266950"/>
            <wp:effectExtent l="19050" t="19050" r="26670"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83280" cy="2266950"/>
                    </a:xfrm>
                    <a:prstGeom prst="rect">
                      <a:avLst/>
                    </a:prstGeom>
                    <a:noFill/>
                    <a:ln w="12700">
                      <a:solidFill>
                        <a:schemeClr val="accent1"/>
                      </a:solidFill>
                    </a:ln>
                  </pic:spPr>
                </pic:pic>
              </a:graphicData>
            </a:graphic>
            <wp14:sizeRelH relativeFrom="margin">
              <wp14:pctWidth>0</wp14:pctWidth>
            </wp14:sizeRelH>
            <wp14:sizeRelV relativeFrom="margin">
              <wp14:pctHeight>0</wp14:pctHeight>
            </wp14:sizeRelV>
          </wp:anchor>
        </w:drawing>
      </w:r>
      <w:r w:rsidR="00731FB8">
        <w:t>Section XII</w:t>
      </w:r>
      <w:r w:rsidR="00731FB8" w:rsidRPr="00275E5C">
        <w:t xml:space="preserve">: </w:t>
      </w:r>
      <w:r w:rsidR="008008E2">
        <w:t xml:space="preserve">Policy </w:t>
      </w:r>
      <w:r w:rsidR="0030386E">
        <w:t>Duration</w:t>
      </w:r>
    </w:p>
    <w:p w14:paraId="08A506BA" w14:textId="59F83344" w:rsidR="009C4AA4" w:rsidRDefault="00BE020F" w:rsidP="008008E2">
      <w:pPr>
        <w:spacing w:after="0"/>
        <w:jc w:val="both"/>
      </w:pPr>
      <w:r>
        <w:rPr>
          <w:noProof/>
        </w:rPr>
        <w:t>Figure 17</w:t>
      </w:r>
      <w:r w:rsidR="00B148C4">
        <w:t xml:space="preserve"> summarizes exposure of several key values by </w:t>
      </w:r>
      <w:r w:rsidR="00F3342C">
        <w:t>du</w:t>
      </w:r>
      <w:r w:rsidR="00B62CF7">
        <w:t>r</w:t>
      </w:r>
      <w:r w:rsidR="00F3342C">
        <w:t>ation</w:t>
      </w:r>
      <w:r w:rsidR="00B148C4">
        <w:t>.</w:t>
      </w:r>
      <w:r>
        <w:t xml:space="preserve"> </w:t>
      </w:r>
    </w:p>
    <w:p w14:paraId="2B6C5FC5" w14:textId="6EB74A29" w:rsidR="00B148C4" w:rsidRDefault="00B148C4" w:rsidP="008008E2">
      <w:pPr>
        <w:spacing w:after="0"/>
        <w:jc w:val="both"/>
      </w:pPr>
      <w:r>
        <w:t xml:space="preserve">Exposure by amount is heavily concentrated in early durations.  Some of this can be explained by higher face Term policies lapsing </w:t>
      </w:r>
      <w:r w:rsidR="00BE020F">
        <w:t xml:space="preserve">after the guaranteed period. </w:t>
      </w:r>
    </w:p>
    <w:p w14:paraId="77A2C315" w14:textId="20120785" w:rsidR="00B148C4" w:rsidRDefault="009C4AA4" w:rsidP="008008E2">
      <w:pPr>
        <w:spacing w:after="0"/>
        <w:jc w:val="both"/>
      </w:pPr>
      <w:r>
        <w:t>Actual and e</w:t>
      </w:r>
      <w:r w:rsidR="00B148C4">
        <w:t xml:space="preserve">xpected deaths </w:t>
      </w:r>
      <w:r w:rsidR="008C7889">
        <w:t>have nearly identical distributions for both amount and count.</w:t>
      </w:r>
    </w:p>
    <w:p w14:paraId="3A22F783" w14:textId="1F1F8831" w:rsidR="00731FB8" w:rsidRPr="00731FB8" w:rsidRDefault="00C42807" w:rsidP="008008E2">
      <w:pPr>
        <w:spacing w:after="0"/>
        <w:jc w:val="both"/>
      </w:pPr>
      <w:r>
        <w:rPr>
          <w:noProof/>
        </w:rPr>
        <mc:AlternateContent>
          <mc:Choice Requires="wps">
            <w:drawing>
              <wp:anchor distT="0" distB="0" distL="114300" distR="114300" simplePos="0" relativeHeight="251681792" behindDoc="0" locked="0" layoutInCell="1" allowOverlap="1" wp14:anchorId="56464A71" wp14:editId="6B95F331">
                <wp:simplePos x="0" y="0"/>
                <wp:positionH relativeFrom="margin">
                  <wp:align>right</wp:align>
                </wp:positionH>
                <wp:positionV relativeFrom="paragraph">
                  <wp:posOffset>708025</wp:posOffset>
                </wp:positionV>
                <wp:extent cx="340995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0B86706B" w14:textId="71BB0640" w:rsidR="008B320B" w:rsidRPr="002D697C" w:rsidRDefault="008B320B" w:rsidP="008008E2">
                            <w:pPr>
                              <w:pStyle w:val="Caption"/>
                              <w:rPr>
                                <w:noProof/>
                              </w:rPr>
                            </w:pPr>
                            <w:r>
                              <w:t xml:space="preserve">Figure </w:t>
                            </w:r>
                            <w:r w:rsidR="0054611A">
                              <w:fldChar w:fldCharType="begin"/>
                            </w:r>
                            <w:r w:rsidR="0054611A">
                              <w:instrText xml:space="preserve"> SEQ Figure \* ARABIC </w:instrText>
                            </w:r>
                            <w:r w:rsidR="0054611A">
                              <w:fldChar w:fldCharType="separate"/>
                            </w:r>
                            <w:r w:rsidR="00540404">
                              <w:rPr>
                                <w:noProof/>
                              </w:rPr>
                              <w:t>17</w:t>
                            </w:r>
                            <w:r w:rsidR="0054611A">
                              <w:rPr>
                                <w:noProof/>
                              </w:rPr>
                              <w:fldChar w:fldCharType="end"/>
                            </w:r>
                            <w:r>
                              <w:t>: Duration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464A71" id="Text Box 28" o:spid="_x0000_s1034" type="#_x0000_t202" style="position:absolute;left:0;text-align:left;margin-left:217.3pt;margin-top:55.75pt;width:268.5pt;height:.05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jLgIAAGYEAAAOAAAAZHJzL2Uyb0RvYy54bWysVMFu2zAMvQ/YPwi6L07StVi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" stroked="f">
                <v:textbox style="mso-fit-shape-to-text:t" inset="0,0,0,0">
                  <w:txbxContent>
                    <w:p w14:paraId="0B86706B" w14:textId="71BB0640" w:rsidR="008B320B" w:rsidRPr="002D697C" w:rsidRDefault="008B320B" w:rsidP="008008E2">
                      <w:pPr>
                        <w:pStyle w:val="Caption"/>
                        <w:rPr>
                          <w:noProof/>
                        </w:rPr>
                      </w:pPr>
                      <w:r>
                        <w:t xml:space="preserve">Figure </w:t>
                      </w:r>
                      <w:fldSimple w:instr=" SEQ Figure \* ARABIC ">
                        <w:r w:rsidR="00540404">
                          <w:rPr>
                            <w:noProof/>
                          </w:rPr>
                          <w:t>17</w:t>
                        </w:r>
                      </w:fldSimple>
                      <w:r>
                        <w:t>: Duration Summary</w:t>
                      </w:r>
                    </w:p>
                  </w:txbxContent>
                </v:textbox>
                <w10:wrap type="square" anchorx="margin"/>
              </v:shape>
            </w:pict>
          </mc:Fallback>
        </mc:AlternateContent>
      </w:r>
      <w:r w:rsidR="009C4AA4">
        <w:t>Number of deaths (both a</w:t>
      </w:r>
      <w:r w:rsidR="008C7889">
        <w:t xml:space="preserve">ctual and </w:t>
      </w:r>
      <w:r w:rsidR="009C4AA4">
        <w:t>e</w:t>
      </w:r>
      <w:r w:rsidR="008C7889">
        <w:t>xpected) are both concentrated in later policy years, with a substantial portion of exposure o</w:t>
      </w:r>
      <w:r w:rsidR="009C4AA4">
        <w:t>ccurring in durations 50+.  Th</w:t>
      </w:r>
      <w:r>
        <w:t>is exposure</w:t>
      </w:r>
      <w:r w:rsidR="008C7889">
        <w:t xml:space="preserve"> seems </w:t>
      </w:r>
      <w:r>
        <w:t>abnormally</w:t>
      </w:r>
      <w:r w:rsidR="008C7889">
        <w:t xml:space="preserve"> high.</w:t>
      </w:r>
    </w:p>
    <w:p w14:paraId="600A4814" w14:textId="70D1102E" w:rsidR="009A2149" w:rsidRDefault="009A2149" w:rsidP="009A2149">
      <w:pPr>
        <w:pStyle w:val="Heading1"/>
      </w:pPr>
      <w:r>
        <w:t>Section XIII</w:t>
      </w:r>
      <w:r w:rsidRPr="00275E5C">
        <w:t xml:space="preserve">: </w:t>
      </w:r>
      <w:r>
        <w:t>Smoker Status Prevalence</w:t>
      </w:r>
    </w:p>
    <w:p w14:paraId="16309214" w14:textId="4DF20A26" w:rsidR="00AC2C25" w:rsidRDefault="005C158F" w:rsidP="002A479C">
      <w:pPr>
        <w:spacing w:after="0"/>
        <w:jc w:val="both"/>
      </w:pPr>
      <w:r>
        <w:t>In addition to the Smoker Status inconsistences dis</w:t>
      </w:r>
      <w:r w:rsidR="009E77A8">
        <w:t>cussed in section VIII, there a</w:t>
      </w:r>
      <w:r>
        <w:t xml:space="preserve">re </w:t>
      </w:r>
      <w:r w:rsidR="00AC2C25">
        <w:t>issues</w:t>
      </w:r>
      <w:r w:rsidR="0032696A">
        <w:t xml:space="preserve"> with smoking prevalence</w:t>
      </w:r>
      <w:r>
        <w:t xml:space="preserve"> in </w:t>
      </w:r>
      <w:r w:rsidR="0014345F">
        <w:t>the dataset’s policyholder</w:t>
      </w:r>
      <w:r>
        <w:t xml:space="preserve"> population. </w:t>
      </w:r>
      <w:r w:rsidR="00DA47C9">
        <w:t>495,392</w:t>
      </w:r>
      <w:r w:rsidR="008B320B">
        <w:t xml:space="preserve"> </w:t>
      </w:r>
      <w:r w:rsidR="00DA47C9">
        <w:t>juvenile policyholders</w:t>
      </w:r>
      <w:r w:rsidR="00AF4970">
        <w:t xml:space="preserve"> (issue age &lt; 18)</w:t>
      </w:r>
      <w:r w:rsidR="00DA47C9">
        <w:t xml:space="preserve"> </w:t>
      </w:r>
      <w:r w:rsidR="002A479C">
        <w:t>were labeled as smokers</w:t>
      </w:r>
      <w:r w:rsidR="00DA47C9">
        <w:t xml:space="preserve">, </w:t>
      </w:r>
      <w:r w:rsidR="008C4427">
        <w:t>which implies that at least 1.6% of smoker status data points are incorrect</w:t>
      </w:r>
      <w:r w:rsidR="002A479C">
        <w:t xml:space="preserve">. This issue can </w:t>
      </w:r>
      <w:r w:rsidR="008B320B">
        <w:t xml:space="preserve">most likely </w:t>
      </w:r>
      <w:r w:rsidR="002A479C">
        <w:t xml:space="preserve">be attributed to </w:t>
      </w:r>
      <w:r w:rsidR="008B320B">
        <w:t>error</w:t>
      </w:r>
      <w:r w:rsidR="002A479C">
        <w:t>s</w:t>
      </w:r>
      <w:r w:rsidR="008B320B">
        <w:t xml:space="preserve"> in data entry. Also, the prevalence of smokers</w:t>
      </w:r>
      <w:r w:rsidR="00B26E34">
        <w:t xml:space="preserve"> in the dataset</w:t>
      </w:r>
      <w:r w:rsidR="005D3F8F">
        <w:t xml:space="preserve"> ha</w:t>
      </w:r>
      <w:r w:rsidR="00C942EE">
        <w:t>d an increase</w:t>
      </w:r>
      <w:r w:rsidR="005D3F8F">
        <w:t xml:space="preserve"> </w:t>
      </w:r>
      <w:r w:rsidR="00AC2C25">
        <w:t>from 0.0</w:t>
      </w:r>
      <w:r w:rsidR="009345FF">
        <w:t>00</w:t>
      </w:r>
      <w:r w:rsidR="00AC2C25">
        <w:t>% in the first issue year, 1906, to 0.186% in th</w:t>
      </w:r>
      <w:r w:rsidR="00A34371">
        <w:t xml:space="preserve">e most recent issue year, 2015, with </w:t>
      </w:r>
      <w:r w:rsidR="00D44887">
        <w:t>the first recorded smokers in 1925. With the</w:t>
      </w:r>
      <w:r w:rsidR="00C942EE">
        <w:t xml:space="preserve"> surge </w:t>
      </w:r>
      <w:r w:rsidR="00D44887">
        <w:t>in legislation and public awareness about the harms of tobacco</w:t>
      </w:r>
      <w:r w:rsidR="00AF4970">
        <w:t xml:space="preserve"> in the last century</w:t>
      </w:r>
      <w:r w:rsidR="00D44887">
        <w:t>, w</w:t>
      </w:r>
      <w:r w:rsidR="00AC2C25">
        <w:t>e would expect this trend to fall, not rise. On</w:t>
      </w:r>
      <w:r w:rsidR="00D44887">
        <w:t>e possible explanation is that insurance companies didn’t start recording the smoking status of their policyho</w:t>
      </w:r>
      <w:r w:rsidR="007C58F3">
        <w:t>lders until 1925, and</w:t>
      </w:r>
      <w:r w:rsidR="00B26E34">
        <w:t xml:space="preserve"> until enough evidence of tobacco’s adverse effects on life expectancy</w:t>
      </w:r>
      <w:r w:rsidR="0095706E">
        <w:t xml:space="preserve"> was widely accepted</w:t>
      </w:r>
      <w:r w:rsidR="00B26E34">
        <w:t xml:space="preserve">, life insurance companies weren’t very concerned about knowing their policyholder’s smoker status </w:t>
      </w:r>
      <w:r w:rsidR="007C58F3">
        <w:t>until around 1981</w:t>
      </w:r>
      <w:r w:rsidR="00D6442B">
        <w:t xml:space="preserve">, </w:t>
      </w:r>
      <w:r w:rsidR="007C58F3">
        <w:t>when the prevalence of smokers in this dataset spiked.</w:t>
      </w:r>
    </w:p>
    <w:p w14:paraId="1D11D51C" w14:textId="5D594F7D" w:rsidR="00706F41" w:rsidRDefault="009A2149" w:rsidP="00706F41">
      <w:pPr>
        <w:pStyle w:val="Heading1"/>
      </w:pPr>
      <w:r>
        <w:t>Section XIV</w:t>
      </w:r>
      <w:r w:rsidR="00706F41" w:rsidRPr="00275E5C">
        <w:t xml:space="preserve">: </w:t>
      </w:r>
      <w:r w:rsidR="00706F41">
        <w:t>Overall Summary</w:t>
      </w:r>
    </w:p>
    <w:tbl>
      <w:tblPr>
        <w:tblStyle w:val="TableGrid"/>
        <w:tblW w:w="11077" w:type="dxa"/>
        <w:tblLook w:val="04A0" w:firstRow="1" w:lastRow="0" w:firstColumn="1" w:lastColumn="0" w:noHBand="0" w:noVBand="1"/>
      </w:tblPr>
      <w:tblGrid>
        <w:gridCol w:w="2697"/>
        <w:gridCol w:w="1115"/>
        <w:gridCol w:w="3023"/>
        <w:gridCol w:w="4242"/>
      </w:tblGrid>
      <w:tr w:rsidR="00607522" w14:paraId="1D74C23F" w14:textId="77777777" w:rsidTr="00261986">
        <w:tc>
          <w:tcPr>
            <w:tcW w:w="2697" w:type="dxa"/>
          </w:tcPr>
          <w:p w14:paraId="1FF9A051" w14:textId="70480DEC" w:rsidR="00607522" w:rsidRPr="00607522" w:rsidRDefault="00607522" w:rsidP="00607522">
            <w:pPr>
              <w:jc w:val="center"/>
              <w:rPr>
                <w:b/>
              </w:rPr>
            </w:pPr>
            <w:r w:rsidRPr="00607522">
              <w:rPr>
                <w:b/>
              </w:rPr>
              <w:t>FIELD</w:t>
            </w:r>
          </w:p>
        </w:tc>
        <w:tc>
          <w:tcPr>
            <w:tcW w:w="1115" w:type="dxa"/>
          </w:tcPr>
          <w:p w14:paraId="468818EB" w14:textId="74503029" w:rsidR="00607522" w:rsidRPr="00607522" w:rsidRDefault="00607522" w:rsidP="00607522">
            <w:pPr>
              <w:jc w:val="center"/>
              <w:rPr>
                <w:b/>
              </w:rPr>
            </w:pPr>
            <w:r>
              <w:rPr>
                <w:b/>
              </w:rPr>
              <w:t>SECTION</w:t>
            </w:r>
          </w:p>
        </w:tc>
        <w:tc>
          <w:tcPr>
            <w:tcW w:w="3023" w:type="dxa"/>
          </w:tcPr>
          <w:p w14:paraId="6E30D2E0" w14:textId="00EF6278" w:rsidR="00607522" w:rsidRPr="00607522" w:rsidRDefault="00607522" w:rsidP="00607522">
            <w:pPr>
              <w:jc w:val="center"/>
              <w:rPr>
                <w:b/>
              </w:rPr>
            </w:pPr>
            <w:r>
              <w:rPr>
                <w:b/>
              </w:rPr>
              <w:t>VALIDATIONS</w:t>
            </w:r>
          </w:p>
        </w:tc>
        <w:tc>
          <w:tcPr>
            <w:tcW w:w="4242" w:type="dxa"/>
          </w:tcPr>
          <w:p w14:paraId="6216BD9B" w14:textId="1ADC24A1" w:rsidR="00607522" w:rsidRPr="00607522" w:rsidRDefault="00607522" w:rsidP="00607522">
            <w:pPr>
              <w:jc w:val="center"/>
              <w:rPr>
                <w:b/>
              </w:rPr>
            </w:pPr>
            <w:r>
              <w:rPr>
                <w:b/>
              </w:rPr>
              <w:t>FLAGS</w:t>
            </w:r>
          </w:p>
        </w:tc>
      </w:tr>
      <w:tr w:rsidR="00607522" w14:paraId="4E54BED2" w14:textId="77777777" w:rsidTr="00261986">
        <w:tc>
          <w:tcPr>
            <w:tcW w:w="2697" w:type="dxa"/>
          </w:tcPr>
          <w:p w14:paraId="234CA3AF" w14:textId="468458A5" w:rsidR="00607522" w:rsidRDefault="00607522" w:rsidP="00607522">
            <w:r>
              <w:t>Observation Year</w:t>
            </w:r>
          </w:p>
        </w:tc>
        <w:tc>
          <w:tcPr>
            <w:tcW w:w="1115" w:type="dxa"/>
          </w:tcPr>
          <w:p w14:paraId="4E303E46" w14:textId="5E498BEE" w:rsidR="00607522" w:rsidRDefault="00607522" w:rsidP="00607522">
            <w:r>
              <w:t>V</w:t>
            </w:r>
          </w:p>
        </w:tc>
        <w:tc>
          <w:tcPr>
            <w:tcW w:w="3023" w:type="dxa"/>
          </w:tcPr>
          <w:p w14:paraId="2BD1EB22" w14:textId="51954D01" w:rsidR="00607522" w:rsidRDefault="00607522" w:rsidP="00607522">
            <w:pPr>
              <w:pStyle w:val="ListParagraph"/>
              <w:numPr>
                <w:ilvl w:val="0"/>
                <w:numId w:val="24"/>
              </w:numPr>
            </w:pPr>
            <w:r>
              <w:t>All observations occurred 2009-2015.</w:t>
            </w:r>
          </w:p>
        </w:tc>
        <w:tc>
          <w:tcPr>
            <w:tcW w:w="4242" w:type="dxa"/>
          </w:tcPr>
          <w:p w14:paraId="2F3639D0" w14:textId="2FD35C9B" w:rsidR="00607522" w:rsidRDefault="00607522" w:rsidP="00607522">
            <w:pPr>
              <w:pStyle w:val="ListParagraph"/>
              <w:numPr>
                <w:ilvl w:val="0"/>
                <w:numId w:val="24"/>
              </w:numPr>
            </w:pPr>
            <w:r>
              <w:t>Review potential mortality improvement.</w:t>
            </w:r>
          </w:p>
        </w:tc>
      </w:tr>
      <w:tr w:rsidR="00607522" w14:paraId="234395D8" w14:textId="77777777" w:rsidTr="00261986">
        <w:tc>
          <w:tcPr>
            <w:tcW w:w="2697" w:type="dxa"/>
          </w:tcPr>
          <w:p w14:paraId="24296B76" w14:textId="7C32865B" w:rsidR="00607522" w:rsidRDefault="00607522" w:rsidP="00607522">
            <w:r>
              <w:t>Common Company Indicator 57</w:t>
            </w:r>
          </w:p>
        </w:tc>
        <w:tc>
          <w:tcPr>
            <w:tcW w:w="1115" w:type="dxa"/>
          </w:tcPr>
          <w:p w14:paraId="640C5A4B" w14:textId="39593C6E" w:rsidR="00607522" w:rsidRDefault="00607522" w:rsidP="00607522">
            <w:r>
              <w:t>X</w:t>
            </w:r>
          </w:p>
        </w:tc>
        <w:tc>
          <w:tcPr>
            <w:tcW w:w="3023" w:type="dxa"/>
          </w:tcPr>
          <w:p w14:paraId="48F0D393" w14:textId="1A87DC7D" w:rsidR="00607522" w:rsidRDefault="00607522" w:rsidP="00607522">
            <w:pPr>
              <w:pStyle w:val="ListParagraph"/>
              <w:numPr>
                <w:ilvl w:val="0"/>
                <w:numId w:val="25"/>
              </w:numPr>
            </w:pPr>
            <w:r>
              <w:t>All values are 0 or 1.</w:t>
            </w:r>
          </w:p>
        </w:tc>
        <w:tc>
          <w:tcPr>
            <w:tcW w:w="4242" w:type="dxa"/>
          </w:tcPr>
          <w:p w14:paraId="59F1908F" w14:textId="40E14ADA" w:rsidR="00607522" w:rsidRDefault="00607522" w:rsidP="00607522">
            <w:pPr>
              <w:pStyle w:val="ListParagraph"/>
              <w:numPr>
                <w:ilvl w:val="0"/>
                <w:numId w:val="25"/>
              </w:numPr>
            </w:pPr>
            <w:r>
              <w:t>Very unbalanced data - ~1.5% labeled 0.</w:t>
            </w:r>
          </w:p>
        </w:tc>
      </w:tr>
      <w:tr w:rsidR="00607522" w14:paraId="2F9A5135" w14:textId="77777777" w:rsidTr="00261986">
        <w:tc>
          <w:tcPr>
            <w:tcW w:w="2697" w:type="dxa"/>
          </w:tcPr>
          <w:p w14:paraId="72D8356A" w14:textId="625510A9" w:rsidR="00607522" w:rsidRDefault="00BC3F87" w:rsidP="00607522">
            <w:r>
              <w:lastRenderedPageBreak/>
              <w:t>Preferred Indicator</w:t>
            </w:r>
          </w:p>
        </w:tc>
        <w:tc>
          <w:tcPr>
            <w:tcW w:w="1115" w:type="dxa"/>
          </w:tcPr>
          <w:p w14:paraId="6B861B51" w14:textId="746D0613" w:rsidR="00607522" w:rsidRDefault="00BC3F87" w:rsidP="00607522">
            <w:r>
              <w:t>X</w:t>
            </w:r>
          </w:p>
        </w:tc>
        <w:tc>
          <w:tcPr>
            <w:tcW w:w="3023" w:type="dxa"/>
          </w:tcPr>
          <w:p w14:paraId="0E14150F" w14:textId="77777777" w:rsidR="00607522" w:rsidRDefault="00BC3F87" w:rsidP="00BC3F87">
            <w:pPr>
              <w:pStyle w:val="ListParagraph"/>
              <w:numPr>
                <w:ilvl w:val="0"/>
                <w:numId w:val="26"/>
              </w:numPr>
            </w:pPr>
            <w:r>
              <w:t>All values are 0 or 1.</w:t>
            </w:r>
          </w:p>
          <w:p w14:paraId="12D2DD5A" w14:textId="2C76A4EA" w:rsidR="00BC3F87" w:rsidRDefault="00BC3F87" w:rsidP="00BC3F87">
            <w:pPr>
              <w:pStyle w:val="ListParagraph"/>
              <w:numPr>
                <w:ilvl w:val="0"/>
                <w:numId w:val="26"/>
              </w:numPr>
            </w:pPr>
            <w:r>
              <w:t>Much larger average size for policies listed as 1.</w:t>
            </w:r>
          </w:p>
        </w:tc>
        <w:tc>
          <w:tcPr>
            <w:tcW w:w="4242" w:type="dxa"/>
          </w:tcPr>
          <w:p w14:paraId="3E8280F7" w14:textId="253BA3C9" w:rsidR="00607522" w:rsidRDefault="00BC3F87" w:rsidP="00BC3F87">
            <w:pPr>
              <w:pStyle w:val="ListParagraph"/>
              <w:numPr>
                <w:ilvl w:val="0"/>
                <w:numId w:val="26"/>
              </w:numPr>
            </w:pPr>
            <w:r>
              <w:t>Disproportionately high deaths in preferred indicator 0 cohort.</w:t>
            </w:r>
          </w:p>
        </w:tc>
      </w:tr>
      <w:tr w:rsidR="00607522" w14:paraId="4D4EAD9B" w14:textId="77777777" w:rsidTr="00261986">
        <w:tc>
          <w:tcPr>
            <w:tcW w:w="2697" w:type="dxa"/>
          </w:tcPr>
          <w:p w14:paraId="4E2A310D" w14:textId="36BD822C" w:rsidR="00607522" w:rsidRDefault="00BC3F87" w:rsidP="00607522">
            <w:r>
              <w:t>Gender</w:t>
            </w:r>
          </w:p>
        </w:tc>
        <w:tc>
          <w:tcPr>
            <w:tcW w:w="1115" w:type="dxa"/>
          </w:tcPr>
          <w:p w14:paraId="43A88E8C" w14:textId="1F37A0A9" w:rsidR="00607522" w:rsidRDefault="00BC3F87" w:rsidP="00607522">
            <w:r>
              <w:t>X</w:t>
            </w:r>
          </w:p>
        </w:tc>
        <w:tc>
          <w:tcPr>
            <w:tcW w:w="3023" w:type="dxa"/>
          </w:tcPr>
          <w:p w14:paraId="73505000" w14:textId="77777777" w:rsidR="00607522" w:rsidRDefault="00347E92" w:rsidP="00347E92">
            <w:pPr>
              <w:pStyle w:val="ListParagraph"/>
              <w:numPr>
                <w:ilvl w:val="0"/>
                <w:numId w:val="27"/>
              </w:numPr>
            </w:pPr>
            <w:r>
              <w:t>All values are Male or Female.</w:t>
            </w:r>
          </w:p>
          <w:p w14:paraId="291435FB" w14:textId="77777777" w:rsidR="00347E92" w:rsidRDefault="00347E92" w:rsidP="00347E92">
            <w:pPr>
              <w:pStyle w:val="ListParagraph"/>
              <w:numPr>
                <w:ilvl w:val="0"/>
                <w:numId w:val="27"/>
              </w:numPr>
            </w:pPr>
            <w:r>
              <w:t>Similar A/E ratios.</w:t>
            </w:r>
          </w:p>
          <w:p w14:paraId="34716DFF" w14:textId="2A4F9CFE" w:rsidR="00347E92" w:rsidRDefault="00347E92" w:rsidP="00347E92">
            <w:pPr>
              <w:pStyle w:val="ListParagraph"/>
              <w:numPr>
                <w:ilvl w:val="0"/>
                <w:numId w:val="27"/>
              </w:numPr>
            </w:pPr>
            <w:r>
              <w:t>Males have more deaths than females.</w:t>
            </w:r>
          </w:p>
        </w:tc>
        <w:tc>
          <w:tcPr>
            <w:tcW w:w="4242" w:type="dxa"/>
          </w:tcPr>
          <w:p w14:paraId="7E95A101" w14:textId="31FCDAED" w:rsidR="00607522" w:rsidRDefault="00347E92" w:rsidP="00347E92">
            <w:pPr>
              <w:pStyle w:val="ListParagraph"/>
              <w:numPr>
                <w:ilvl w:val="0"/>
                <w:numId w:val="27"/>
              </w:numPr>
            </w:pPr>
            <w:r>
              <w:t>None.</w:t>
            </w:r>
          </w:p>
        </w:tc>
      </w:tr>
      <w:tr w:rsidR="00607522" w14:paraId="18FDBB14" w14:textId="77777777" w:rsidTr="00261986">
        <w:tc>
          <w:tcPr>
            <w:tcW w:w="2697" w:type="dxa"/>
          </w:tcPr>
          <w:p w14:paraId="5E66F217" w14:textId="2697C45D" w:rsidR="00607522" w:rsidRDefault="00347E92" w:rsidP="00607522">
            <w:r>
              <w:t>Smoker Status</w:t>
            </w:r>
          </w:p>
        </w:tc>
        <w:tc>
          <w:tcPr>
            <w:tcW w:w="1115" w:type="dxa"/>
          </w:tcPr>
          <w:p w14:paraId="2E6253F1" w14:textId="7FBF83FF" w:rsidR="00607522" w:rsidRDefault="00347E92" w:rsidP="00607522">
            <w:r>
              <w:t>VIII, XIII</w:t>
            </w:r>
          </w:p>
        </w:tc>
        <w:tc>
          <w:tcPr>
            <w:tcW w:w="3023" w:type="dxa"/>
          </w:tcPr>
          <w:p w14:paraId="0D3B1A7F" w14:textId="6C988C02" w:rsidR="00607522" w:rsidRDefault="00347E92" w:rsidP="00347E92">
            <w:pPr>
              <w:pStyle w:val="ListParagraph"/>
              <w:numPr>
                <w:ilvl w:val="0"/>
                <w:numId w:val="28"/>
              </w:numPr>
            </w:pPr>
            <w:r>
              <w:t>Overall A/E &gt; Non-Smoker.</w:t>
            </w:r>
          </w:p>
        </w:tc>
        <w:tc>
          <w:tcPr>
            <w:tcW w:w="4242" w:type="dxa"/>
          </w:tcPr>
          <w:p w14:paraId="16A7EB10" w14:textId="77777777" w:rsidR="00607522" w:rsidRDefault="00261986" w:rsidP="00261986">
            <w:pPr>
              <w:pStyle w:val="ListParagraph"/>
              <w:numPr>
                <w:ilvl w:val="0"/>
                <w:numId w:val="28"/>
              </w:numPr>
            </w:pPr>
            <w:r>
              <w:t>Combined with preferred class – cohort with the largest A/E is a non-smoker cohort.</w:t>
            </w:r>
          </w:p>
          <w:p w14:paraId="45B44039" w14:textId="00B0D295" w:rsidR="00261986" w:rsidRDefault="00261986" w:rsidP="00261986">
            <w:pPr>
              <w:pStyle w:val="ListParagraph"/>
              <w:numPr>
                <w:ilvl w:val="0"/>
                <w:numId w:val="28"/>
              </w:numPr>
            </w:pPr>
            <w:r>
              <w:t>Some policies are classified “Unknown.”</w:t>
            </w:r>
          </w:p>
          <w:p w14:paraId="1A8B3D27" w14:textId="36A7A6DE" w:rsidR="00261986" w:rsidRDefault="00261986" w:rsidP="00261986">
            <w:pPr>
              <w:pStyle w:val="ListParagraph"/>
              <w:numPr>
                <w:ilvl w:val="0"/>
                <w:numId w:val="28"/>
              </w:numPr>
            </w:pPr>
            <w:r>
              <w:t>Some juveniles (issue age &lt; 18)</w:t>
            </w:r>
            <w:r w:rsidR="00170AF2">
              <w:t xml:space="preserve"> are</w:t>
            </w:r>
            <w:r>
              <w:t xml:space="preserve"> labeled as smokers.</w:t>
            </w:r>
          </w:p>
          <w:p w14:paraId="2F743ABA" w14:textId="146D2B83" w:rsidR="00261986" w:rsidRDefault="00170AF2" w:rsidP="00261986">
            <w:pPr>
              <w:pStyle w:val="ListParagraph"/>
              <w:numPr>
                <w:ilvl w:val="0"/>
                <w:numId w:val="28"/>
              </w:numPr>
            </w:pPr>
            <w:r>
              <w:t>The p</w:t>
            </w:r>
            <w:r w:rsidR="00261986">
              <w:t>revalence of smokers increased from 1906 to 2015.</w:t>
            </w:r>
          </w:p>
        </w:tc>
      </w:tr>
      <w:tr w:rsidR="00607522" w14:paraId="24FB679C" w14:textId="77777777" w:rsidTr="00261986">
        <w:tc>
          <w:tcPr>
            <w:tcW w:w="2697" w:type="dxa"/>
          </w:tcPr>
          <w:p w14:paraId="58FEA902" w14:textId="4EC3834D" w:rsidR="00607522" w:rsidRDefault="00CD2C09" w:rsidP="00607522">
            <w:r>
              <w:t>Insurance Plan</w:t>
            </w:r>
          </w:p>
        </w:tc>
        <w:tc>
          <w:tcPr>
            <w:tcW w:w="1115" w:type="dxa"/>
          </w:tcPr>
          <w:p w14:paraId="3CA69B27" w14:textId="7D99B33D" w:rsidR="00607522" w:rsidRDefault="00CD2C09" w:rsidP="00607522">
            <w:r>
              <w:t>IV</w:t>
            </w:r>
          </w:p>
        </w:tc>
        <w:tc>
          <w:tcPr>
            <w:tcW w:w="3023" w:type="dxa"/>
          </w:tcPr>
          <w:p w14:paraId="5E9AF072" w14:textId="7ED4814B" w:rsidR="00607522" w:rsidRDefault="00CD2C09" w:rsidP="00CD2C09">
            <w:pPr>
              <w:pStyle w:val="ListParagraph"/>
              <w:numPr>
                <w:ilvl w:val="0"/>
                <w:numId w:val="29"/>
              </w:numPr>
            </w:pPr>
            <w:r>
              <w:t>None.</w:t>
            </w:r>
          </w:p>
        </w:tc>
        <w:tc>
          <w:tcPr>
            <w:tcW w:w="4242" w:type="dxa"/>
          </w:tcPr>
          <w:p w14:paraId="790737FA" w14:textId="1DB3A2FB" w:rsidR="00CD2C09" w:rsidRDefault="00CD2C09" w:rsidP="00CD2C09">
            <w:pPr>
              <w:pStyle w:val="ListParagraph"/>
              <w:numPr>
                <w:ilvl w:val="0"/>
                <w:numId w:val="29"/>
              </w:numPr>
            </w:pPr>
            <w:r>
              <w:t>None.</w:t>
            </w:r>
          </w:p>
        </w:tc>
      </w:tr>
      <w:tr w:rsidR="00607522" w14:paraId="786E9890" w14:textId="77777777" w:rsidTr="00261986">
        <w:tc>
          <w:tcPr>
            <w:tcW w:w="2697" w:type="dxa"/>
          </w:tcPr>
          <w:p w14:paraId="5BC293D4" w14:textId="72F80734" w:rsidR="00607522" w:rsidRDefault="00CD2C09" w:rsidP="00607522">
            <w:r>
              <w:t>Issue Age</w:t>
            </w:r>
          </w:p>
        </w:tc>
        <w:tc>
          <w:tcPr>
            <w:tcW w:w="1115" w:type="dxa"/>
          </w:tcPr>
          <w:p w14:paraId="52AE02C8" w14:textId="2107DB4B" w:rsidR="00607522" w:rsidRDefault="00CD2C09" w:rsidP="00607522">
            <w:r>
              <w:t>XI</w:t>
            </w:r>
          </w:p>
        </w:tc>
        <w:tc>
          <w:tcPr>
            <w:tcW w:w="3023" w:type="dxa"/>
          </w:tcPr>
          <w:p w14:paraId="78AD9988" w14:textId="62E16DC4" w:rsidR="00607522" w:rsidRDefault="00CD2C09" w:rsidP="00CD2C09">
            <w:pPr>
              <w:pStyle w:val="ListParagraph"/>
              <w:numPr>
                <w:ilvl w:val="0"/>
                <w:numId w:val="30"/>
              </w:numPr>
            </w:pPr>
            <w:r>
              <w:t>None, see Attained Age.</w:t>
            </w:r>
          </w:p>
        </w:tc>
        <w:tc>
          <w:tcPr>
            <w:tcW w:w="4242" w:type="dxa"/>
          </w:tcPr>
          <w:p w14:paraId="36E7DF4F" w14:textId="5F57D5C8" w:rsidR="00607522" w:rsidRDefault="00CD2C09" w:rsidP="00CD2C09">
            <w:pPr>
              <w:pStyle w:val="ListParagraph"/>
              <w:numPr>
                <w:ilvl w:val="0"/>
                <w:numId w:val="30"/>
              </w:numPr>
            </w:pPr>
            <w:r>
              <w:t>None, see Attained Age.</w:t>
            </w:r>
          </w:p>
        </w:tc>
      </w:tr>
      <w:tr w:rsidR="00CD2C09" w14:paraId="1BC73284" w14:textId="77777777" w:rsidTr="00261986">
        <w:tc>
          <w:tcPr>
            <w:tcW w:w="2697" w:type="dxa"/>
          </w:tcPr>
          <w:p w14:paraId="61B32DA7" w14:textId="32C8E6C4" w:rsidR="00CD2C09" w:rsidRDefault="003A4BA5" w:rsidP="00607522">
            <w:r>
              <w:t>Duration</w:t>
            </w:r>
          </w:p>
        </w:tc>
        <w:tc>
          <w:tcPr>
            <w:tcW w:w="1115" w:type="dxa"/>
          </w:tcPr>
          <w:p w14:paraId="31EB53E2" w14:textId="77005550" w:rsidR="00CD2C09" w:rsidRDefault="003A4BA5" w:rsidP="00607522">
            <w:r>
              <w:t>XII</w:t>
            </w:r>
          </w:p>
        </w:tc>
        <w:tc>
          <w:tcPr>
            <w:tcW w:w="3023" w:type="dxa"/>
          </w:tcPr>
          <w:p w14:paraId="2BFDD461" w14:textId="16475B93" w:rsidR="00CD2C09" w:rsidRDefault="003A4BA5" w:rsidP="00CD2C09">
            <w:pPr>
              <w:pStyle w:val="ListParagraph"/>
              <w:numPr>
                <w:ilvl w:val="0"/>
                <w:numId w:val="30"/>
              </w:numPr>
            </w:pPr>
            <w:r>
              <w:t>A/E by duration in level term period groups.</w:t>
            </w:r>
          </w:p>
        </w:tc>
        <w:tc>
          <w:tcPr>
            <w:tcW w:w="4242" w:type="dxa"/>
          </w:tcPr>
          <w:p w14:paraId="43C94775" w14:textId="5E9D9A2C" w:rsidR="00CD2C09" w:rsidRDefault="003A4BA5" w:rsidP="00CD2C09">
            <w:pPr>
              <w:pStyle w:val="ListParagraph"/>
              <w:numPr>
                <w:ilvl w:val="0"/>
                <w:numId w:val="30"/>
              </w:numPr>
            </w:pPr>
            <w:r>
              <w:t>None.</w:t>
            </w:r>
          </w:p>
        </w:tc>
      </w:tr>
      <w:tr w:rsidR="00CD2C09" w14:paraId="00B823DC" w14:textId="77777777" w:rsidTr="00261986">
        <w:tc>
          <w:tcPr>
            <w:tcW w:w="2697" w:type="dxa"/>
          </w:tcPr>
          <w:p w14:paraId="077077E4" w14:textId="470A0EC3" w:rsidR="00CD2C09" w:rsidRDefault="003A4BA5" w:rsidP="00607522">
            <w:r>
              <w:t>Attained Age</w:t>
            </w:r>
          </w:p>
        </w:tc>
        <w:tc>
          <w:tcPr>
            <w:tcW w:w="1115" w:type="dxa"/>
          </w:tcPr>
          <w:p w14:paraId="00B42A64" w14:textId="5DF1A5E6" w:rsidR="00CD2C09" w:rsidRDefault="003A4BA5" w:rsidP="00607522">
            <w:r>
              <w:t>XI</w:t>
            </w:r>
          </w:p>
        </w:tc>
        <w:tc>
          <w:tcPr>
            <w:tcW w:w="3023" w:type="dxa"/>
          </w:tcPr>
          <w:p w14:paraId="348137E2" w14:textId="77777777" w:rsidR="00CD2C09" w:rsidRDefault="003A4BA5" w:rsidP="00CD2C09">
            <w:pPr>
              <w:pStyle w:val="ListParagraph"/>
              <w:numPr>
                <w:ilvl w:val="0"/>
                <w:numId w:val="30"/>
              </w:numPr>
            </w:pPr>
            <w:r>
              <w:t>All policies are between 0 and 120.</w:t>
            </w:r>
          </w:p>
          <w:p w14:paraId="1ACAF986" w14:textId="32E84E33" w:rsidR="003A4BA5" w:rsidRDefault="003A4BA5" w:rsidP="00CD2C09">
            <w:pPr>
              <w:pStyle w:val="ListParagraph"/>
              <w:numPr>
                <w:ilvl w:val="0"/>
                <w:numId w:val="30"/>
              </w:numPr>
            </w:pPr>
            <w:r>
              <w:t>Distribution of deaths is older than exposure.</w:t>
            </w:r>
          </w:p>
        </w:tc>
        <w:tc>
          <w:tcPr>
            <w:tcW w:w="4242" w:type="dxa"/>
          </w:tcPr>
          <w:p w14:paraId="01C1AC46" w14:textId="77777777" w:rsidR="00CD2C09" w:rsidRDefault="003A4BA5" w:rsidP="00CD2C09">
            <w:pPr>
              <w:pStyle w:val="ListParagraph"/>
              <w:numPr>
                <w:ilvl w:val="0"/>
                <w:numId w:val="30"/>
              </w:numPr>
            </w:pPr>
            <w:r>
              <w:t>Extremely low A/E in extremely low ages – indicating policies may be forgotten.</w:t>
            </w:r>
          </w:p>
          <w:p w14:paraId="77D3502F" w14:textId="2721B756" w:rsidR="003A4BA5" w:rsidRDefault="003A4BA5" w:rsidP="00CD2C09">
            <w:pPr>
              <w:pStyle w:val="ListParagraph"/>
              <w:numPr>
                <w:ilvl w:val="0"/>
                <w:numId w:val="30"/>
              </w:numPr>
            </w:pPr>
            <w:r>
              <w:t>Dual peaks in distribution of death amount by attained age.</w:t>
            </w:r>
          </w:p>
        </w:tc>
      </w:tr>
      <w:tr w:rsidR="00CD2C09" w14:paraId="0FA48ED8" w14:textId="77777777" w:rsidTr="00261986">
        <w:tc>
          <w:tcPr>
            <w:tcW w:w="2697" w:type="dxa"/>
          </w:tcPr>
          <w:p w14:paraId="515EA05C" w14:textId="7F317C14" w:rsidR="00CD2C09" w:rsidRDefault="003A4BA5" w:rsidP="00607522">
            <w:r>
              <w:t>Age Basis</w:t>
            </w:r>
          </w:p>
        </w:tc>
        <w:tc>
          <w:tcPr>
            <w:tcW w:w="1115" w:type="dxa"/>
          </w:tcPr>
          <w:p w14:paraId="363AC163" w14:textId="3767A650" w:rsidR="00CD2C09" w:rsidRDefault="003A4BA5" w:rsidP="00607522">
            <w:r>
              <w:t>IX</w:t>
            </w:r>
          </w:p>
        </w:tc>
        <w:tc>
          <w:tcPr>
            <w:tcW w:w="3023" w:type="dxa"/>
          </w:tcPr>
          <w:p w14:paraId="2AEDC176" w14:textId="77777777" w:rsidR="00CD2C09" w:rsidRDefault="003A4BA5" w:rsidP="00CD2C09">
            <w:pPr>
              <w:pStyle w:val="ListParagraph"/>
              <w:numPr>
                <w:ilvl w:val="0"/>
                <w:numId w:val="30"/>
              </w:numPr>
            </w:pPr>
            <w:r>
              <w:t>ANB A/E &lt; ALB A/E.</w:t>
            </w:r>
          </w:p>
          <w:p w14:paraId="0719D640" w14:textId="4C5A8A5E" w:rsidR="003A4BA5" w:rsidRDefault="003A4BA5" w:rsidP="00CD2C09">
            <w:pPr>
              <w:pStyle w:val="ListParagraph"/>
              <w:numPr>
                <w:ilvl w:val="0"/>
                <w:numId w:val="30"/>
              </w:numPr>
            </w:pPr>
            <w:r>
              <w:t>All policies classified as ANB or ALB.</w:t>
            </w:r>
          </w:p>
        </w:tc>
        <w:tc>
          <w:tcPr>
            <w:tcW w:w="4242" w:type="dxa"/>
          </w:tcPr>
          <w:p w14:paraId="053CFC37" w14:textId="7CAEF3DD" w:rsidR="00CD2C09" w:rsidRDefault="003A4BA5" w:rsidP="00CD2C09">
            <w:pPr>
              <w:pStyle w:val="ListParagraph"/>
              <w:numPr>
                <w:ilvl w:val="0"/>
                <w:numId w:val="30"/>
              </w:numPr>
            </w:pPr>
            <w:r>
              <w:t>None.</w:t>
            </w:r>
          </w:p>
        </w:tc>
      </w:tr>
      <w:tr w:rsidR="00CD2C09" w14:paraId="0A7DFD82" w14:textId="77777777" w:rsidTr="00261986">
        <w:tc>
          <w:tcPr>
            <w:tcW w:w="2697" w:type="dxa"/>
          </w:tcPr>
          <w:p w14:paraId="3BF8A89E" w14:textId="4EEDEECE" w:rsidR="00CD2C09" w:rsidRDefault="003A4BA5" w:rsidP="00607522">
            <w:r>
              <w:t>Face Amount Band</w:t>
            </w:r>
          </w:p>
        </w:tc>
        <w:tc>
          <w:tcPr>
            <w:tcW w:w="1115" w:type="dxa"/>
          </w:tcPr>
          <w:p w14:paraId="4D697CA8" w14:textId="7FC3F055" w:rsidR="00CD2C09" w:rsidRDefault="003A4BA5" w:rsidP="00607522">
            <w:r>
              <w:t>VII</w:t>
            </w:r>
          </w:p>
        </w:tc>
        <w:tc>
          <w:tcPr>
            <w:tcW w:w="3023" w:type="dxa"/>
          </w:tcPr>
          <w:p w14:paraId="66E11CEC" w14:textId="77777777" w:rsidR="00CD2C09" w:rsidRDefault="003A4BA5" w:rsidP="00CD2C09">
            <w:pPr>
              <w:pStyle w:val="ListParagraph"/>
              <w:numPr>
                <w:ilvl w:val="0"/>
                <w:numId w:val="30"/>
              </w:numPr>
            </w:pPr>
            <w:r>
              <w:t>Decreasing A/E by increasing face band.</w:t>
            </w:r>
          </w:p>
          <w:p w14:paraId="0A5EA19F" w14:textId="77777777" w:rsidR="003A4BA5" w:rsidRDefault="003A4BA5" w:rsidP="00CD2C09">
            <w:pPr>
              <w:pStyle w:val="ListParagraph"/>
              <w:numPr>
                <w:ilvl w:val="0"/>
                <w:numId w:val="30"/>
              </w:numPr>
            </w:pPr>
            <w:r>
              <w:t>Overall average size within face band for all groups.</w:t>
            </w:r>
          </w:p>
          <w:p w14:paraId="62E008E7" w14:textId="5892027D" w:rsidR="003A4BA5" w:rsidRDefault="003A4BA5" w:rsidP="00CD2C09">
            <w:pPr>
              <w:pStyle w:val="ListParagraph"/>
              <w:numPr>
                <w:ilvl w:val="0"/>
                <w:numId w:val="30"/>
              </w:numPr>
            </w:pPr>
            <w:r>
              <w:t>Exposure concentrated in the central bands: 100K – 2.5M.</w:t>
            </w:r>
          </w:p>
        </w:tc>
        <w:tc>
          <w:tcPr>
            <w:tcW w:w="4242" w:type="dxa"/>
          </w:tcPr>
          <w:p w14:paraId="06E782F3" w14:textId="77777777" w:rsidR="00CD2C09" w:rsidRDefault="003A4BA5" w:rsidP="00CD2C09">
            <w:pPr>
              <w:pStyle w:val="ListParagraph"/>
              <w:numPr>
                <w:ilvl w:val="0"/>
                <w:numId w:val="30"/>
              </w:numPr>
            </w:pPr>
            <w:r>
              <w:t>Group average size typically on the low end of the band.</w:t>
            </w:r>
          </w:p>
          <w:p w14:paraId="47C277E2" w14:textId="49201F85" w:rsidR="003A4BA5" w:rsidRDefault="00BA79B9" w:rsidP="00CD2C09">
            <w:pPr>
              <w:pStyle w:val="ListParagraph"/>
              <w:numPr>
                <w:ilvl w:val="0"/>
                <w:numId w:val="30"/>
              </w:numPr>
            </w:pPr>
            <w:r>
              <w:t>Some rows had 0 for amount yet had a face band listed.</w:t>
            </w:r>
          </w:p>
        </w:tc>
      </w:tr>
      <w:tr w:rsidR="00CD2C09" w14:paraId="2753FBAA" w14:textId="77777777" w:rsidTr="00261986">
        <w:tc>
          <w:tcPr>
            <w:tcW w:w="2697" w:type="dxa"/>
          </w:tcPr>
          <w:p w14:paraId="437FB3ED" w14:textId="710CBCEF" w:rsidR="00CD2C09" w:rsidRDefault="00A83251" w:rsidP="00607522">
            <w:r>
              <w:t>Issue Year</w:t>
            </w:r>
          </w:p>
        </w:tc>
        <w:tc>
          <w:tcPr>
            <w:tcW w:w="1115" w:type="dxa"/>
          </w:tcPr>
          <w:p w14:paraId="152667A3" w14:textId="3906692B" w:rsidR="00CD2C09" w:rsidRDefault="00DA63C0" w:rsidP="00607522">
            <w:r>
              <w:t>XIII</w:t>
            </w:r>
          </w:p>
        </w:tc>
        <w:tc>
          <w:tcPr>
            <w:tcW w:w="3023" w:type="dxa"/>
          </w:tcPr>
          <w:p w14:paraId="7D629833" w14:textId="53982DB6" w:rsidR="00CD2C09" w:rsidRDefault="00A83251" w:rsidP="00CD2C09">
            <w:pPr>
              <w:pStyle w:val="ListParagraph"/>
              <w:numPr>
                <w:ilvl w:val="0"/>
                <w:numId w:val="30"/>
              </w:numPr>
            </w:pPr>
            <w:r>
              <w:t>None.</w:t>
            </w:r>
          </w:p>
        </w:tc>
        <w:tc>
          <w:tcPr>
            <w:tcW w:w="4242" w:type="dxa"/>
          </w:tcPr>
          <w:p w14:paraId="4A75E160" w14:textId="4D079DC2" w:rsidR="00CD2C09" w:rsidRDefault="00A83251" w:rsidP="00CD2C09">
            <w:pPr>
              <w:pStyle w:val="ListParagraph"/>
              <w:numPr>
                <w:ilvl w:val="0"/>
                <w:numId w:val="30"/>
              </w:numPr>
            </w:pPr>
            <w:r>
              <w:t>None.</w:t>
            </w:r>
          </w:p>
        </w:tc>
      </w:tr>
      <w:tr w:rsidR="00CD2C09" w14:paraId="1E0740DB" w14:textId="77777777" w:rsidTr="00261986">
        <w:tc>
          <w:tcPr>
            <w:tcW w:w="2697" w:type="dxa"/>
          </w:tcPr>
          <w:p w14:paraId="7D415310" w14:textId="1D99DAA8" w:rsidR="00CD2C09" w:rsidRDefault="002E7219" w:rsidP="00607522">
            <w:r>
              <w:t>Number of Preferred Classes</w:t>
            </w:r>
          </w:p>
        </w:tc>
        <w:tc>
          <w:tcPr>
            <w:tcW w:w="1115" w:type="dxa"/>
          </w:tcPr>
          <w:p w14:paraId="4E1C7F14" w14:textId="3ACF54BB" w:rsidR="00CD2C09" w:rsidRDefault="002E7219" w:rsidP="00607522">
            <w:r>
              <w:t>VIII</w:t>
            </w:r>
          </w:p>
        </w:tc>
        <w:tc>
          <w:tcPr>
            <w:tcW w:w="3023" w:type="dxa"/>
          </w:tcPr>
          <w:p w14:paraId="3643FC41" w14:textId="13DD5220" w:rsidR="00CD2C09" w:rsidRDefault="002E7219" w:rsidP="00CD2C09">
            <w:pPr>
              <w:pStyle w:val="ListParagraph"/>
              <w:numPr>
                <w:ilvl w:val="0"/>
                <w:numId w:val="30"/>
              </w:numPr>
            </w:pPr>
            <w:r>
              <w:t>None.</w:t>
            </w:r>
          </w:p>
        </w:tc>
        <w:tc>
          <w:tcPr>
            <w:tcW w:w="4242" w:type="dxa"/>
          </w:tcPr>
          <w:p w14:paraId="69312938" w14:textId="303964DC" w:rsidR="00CD2C09" w:rsidRDefault="002E7219" w:rsidP="00CD2C09">
            <w:pPr>
              <w:pStyle w:val="ListParagraph"/>
              <w:numPr>
                <w:ilvl w:val="0"/>
                <w:numId w:val="30"/>
              </w:numPr>
            </w:pPr>
            <w:r>
              <w:t>Preferred Class and Number of Preferred Classes are both NA for some entries.</w:t>
            </w:r>
          </w:p>
        </w:tc>
      </w:tr>
      <w:tr w:rsidR="002E7219" w14:paraId="69C3B6E3" w14:textId="77777777" w:rsidTr="00261986">
        <w:tc>
          <w:tcPr>
            <w:tcW w:w="2697" w:type="dxa"/>
          </w:tcPr>
          <w:p w14:paraId="3EEF8A78" w14:textId="532A204C" w:rsidR="002E7219" w:rsidRDefault="002E7219" w:rsidP="002E7219">
            <w:r>
              <w:t>Preferred Class</w:t>
            </w:r>
          </w:p>
        </w:tc>
        <w:tc>
          <w:tcPr>
            <w:tcW w:w="1115" w:type="dxa"/>
          </w:tcPr>
          <w:p w14:paraId="069FE501" w14:textId="66A80E60" w:rsidR="002E7219" w:rsidRDefault="002E7219" w:rsidP="002E7219">
            <w:r>
              <w:t>VIII</w:t>
            </w:r>
          </w:p>
        </w:tc>
        <w:tc>
          <w:tcPr>
            <w:tcW w:w="3023" w:type="dxa"/>
          </w:tcPr>
          <w:p w14:paraId="3F210ED0" w14:textId="110AA12E" w:rsidR="002E7219" w:rsidRDefault="002E7219" w:rsidP="002E7219">
            <w:pPr>
              <w:pStyle w:val="ListParagraph"/>
              <w:numPr>
                <w:ilvl w:val="0"/>
                <w:numId w:val="30"/>
              </w:numPr>
            </w:pPr>
            <w:r>
              <w:t>None.</w:t>
            </w:r>
          </w:p>
        </w:tc>
        <w:tc>
          <w:tcPr>
            <w:tcW w:w="4242" w:type="dxa"/>
          </w:tcPr>
          <w:p w14:paraId="724204EC" w14:textId="20E87AC2" w:rsidR="002E7219" w:rsidRDefault="002E7219" w:rsidP="002E7219">
            <w:pPr>
              <w:pStyle w:val="ListParagraph"/>
              <w:numPr>
                <w:ilvl w:val="0"/>
                <w:numId w:val="30"/>
              </w:numPr>
            </w:pPr>
            <w:r>
              <w:t>Preferred Class and Number of Preferred Classes are both NA for some entries.</w:t>
            </w:r>
          </w:p>
        </w:tc>
      </w:tr>
      <w:tr w:rsidR="002E7219" w14:paraId="207BAAC9" w14:textId="77777777" w:rsidTr="00261986">
        <w:tc>
          <w:tcPr>
            <w:tcW w:w="2697" w:type="dxa"/>
          </w:tcPr>
          <w:p w14:paraId="2BFEE5B5" w14:textId="3FE0D46C" w:rsidR="002E7219" w:rsidRDefault="00DA63C0" w:rsidP="002E7219">
            <w:r>
              <w:t>SOA Anticipated Level Term Period</w:t>
            </w:r>
          </w:p>
        </w:tc>
        <w:tc>
          <w:tcPr>
            <w:tcW w:w="1115" w:type="dxa"/>
          </w:tcPr>
          <w:p w14:paraId="6CBF16BC" w14:textId="7A552159" w:rsidR="002E7219" w:rsidRDefault="00DA63C0" w:rsidP="002E7219">
            <w:r>
              <w:t>VI</w:t>
            </w:r>
          </w:p>
        </w:tc>
        <w:tc>
          <w:tcPr>
            <w:tcW w:w="3023" w:type="dxa"/>
          </w:tcPr>
          <w:p w14:paraId="19DF8F0F" w14:textId="77777777" w:rsidR="002E7219" w:rsidRDefault="00DA63C0" w:rsidP="002E7219">
            <w:pPr>
              <w:pStyle w:val="ListParagraph"/>
              <w:numPr>
                <w:ilvl w:val="0"/>
                <w:numId w:val="30"/>
              </w:numPr>
            </w:pPr>
            <w:r>
              <w:t>All anticipated level term periods greater than or equal to guaranteed level term period.</w:t>
            </w:r>
          </w:p>
          <w:p w14:paraId="79D81D29" w14:textId="474975EF" w:rsidR="00DA63C0" w:rsidRDefault="00DA63C0" w:rsidP="002E7219">
            <w:pPr>
              <w:pStyle w:val="ListParagraph"/>
              <w:numPr>
                <w:ilvl w:val="0"/>
                <w:numId w:val="30"/>
              </w:numPr>
            </w:pPr>
            <w:r>
              <w:t>Most common anticipated level term period was the same duration as the guaranteed level term period.</w:t>
            </w:r>
          </w:p>
        </w:tc>
        <w:tc>
          <w:tcPr>
            <w:tcW w:w="4242" w:type="dxa"/>
          </w:tcPr>
          <w:p w14:paraId="72E39944" w14:textId="27C4F739" w:rsidR="002E7219" w:rsidRDefault="00DA63C0" w:rsidP="002E7219">
            <w:pPr>
              <w:pStyle w:val="ListParagraph"/>
              <w:numPr>
                <w:ilvl w:val="0"/>
                <w:numId w:val="30"/>
              </w:numPr>
            </w:pPr>
            <w:r>
              <w:t>Large portion categorized as unknown.</w:t>
            </w:r>
          </w:p>
        </w:tc>
      </w:tr>
      <w:tr w:rsidR="002E7219" w14:paraId="519C92EE" w14:textId="77777777" w:rsidTr="00261986">
        <w:tc>
          <w:tcPr>
            <w:tcW w:w="2697" w:type="dxa"/>
          </w:tcPr>
          <w:p w14:paraId="6701A7F8" w14:textId="1EB26592" w:rsidR="002E7219" w:rsidRDefault="00DA63C0" w:rsidP="002E7219">
            <w:r>
              <w:t>SOA Guaranteed Level Term Period</w:t>
            </w:r>
          </w:p>
        </w:tc>
        <w:tc>
          <w:tcPr>
            <w:tcW w:w="1115" w:type="dxa"/>
          </w:tcPr>
          <w:p w14:paraId="4595B0A8" w14:textId="5ED3414F" w:rsidR="002E7219" w:rsidRDefault="00DA63C0" w:rsidP="002E7219">
            <w:r>
              <w:t>VI</w:t>
            </w:r>
          </w:p>
        </w:tc>
        <w:tc>
          <w:tcPr>
            <w:tcW w:w="3023" w:type="dxa"/>
          </w:tcPr>
          <w:p w14:paraId="01C56D6B" w14:textId="77777777" w:rsidR="002E7219" w:rsidRDefault="00DA63C0" w:rsidP="002E7219">
            <w:pPr>
              <w:pStyle w:val="ListParagraph"/>
              <w:numPr>
                <w:ilvl w:val="0"/>
                <w:numId w:val="30"/>
              </w:numPr>
            </w:pPr>
            <w:r>
              <w:t xml:space="preserve">10, 15, and 20YT show decreasing A/E by </w:t>
            </w:r>
            <w:r>
              <w:lastRenderedPageBreak/>
              <w:t>increasing term within level term period.</w:t>
            </w:r>
          </w:p>
          <w:p w14:paraId="1AA6F586" w14:textId="36D98832" w:rsidR="00DA63C0" w:rsidRDefault="00DA63C0" w:rsidP="002E7219">
            <w:pPr>
              <w:pStyle w:val="ListParagraph"/>
              <w:numPr>
                <w:ilvl w:val="0"/>
                <w:numId w:val="30"/>
              </w:numPr>
            </w:pPr>
            <w:r>
              <w:t>Large drop in average size coincides with shock mortality.</w:t>
            </w:r>
          </w:p>
        </w:tc>
        <w:tc>
          <w:tcPr>
            <w:tcW w:w="4242" w:type="dxa"/>
          </w:tcPr>
          <w:p w14:paraId="3E9726E8" w14:textId="77777777" w:rsidR="002E7219" w:rsidRDefault="00DA63C0" w:rsidP="002E7219">
            <w:pPr>
              <w:pStyle w:val="ListParagraph"/>
              <w:numPr>
                <w:ilvl w:val="0"/>
                <w:numId w:val="30"/>
              </w:numPr>
            </w:pPr>
            <w:r>
              <w:lastRenderedPageBreak/>
              <w:t>Over 10% categorized as unknown.</w:t>
            </w:r>
          </w:p>
          <w:p w14:paraId="1225DD04" w14:textId="0813738F" w:rsidR="00DA63C0" w:rsidRDefault="00DA63C0" w:rsidP="002E7219">
            <w:pPr>
              <w:pStyle w:val="ListParagraph"/>
              <w:numPr>
                <w:ilvl w:val="0"/>
                <w:numId w:val="30"/>
              </w:numPr>
            </w:pPr>
            <w:r>
              <w:t>5YT and 30YT shock mortality inconsistent with end of term period.</w:t>
            </w:r>
          </w:p>
        </w:tc>
      </w:tr>
      <w:tr w:rsidR="00DA63C0" w14:paraId="10A9B07B" w14:textId="77777777" w:rsidTr="00261986">
        <w:tc>
          <w:tcPr>
            <w:tcW w:w="2697" w:type="dxa"/>
          </w:tcPr>
          <w:p w14:paraId="462E6824" w14:textId="703D3ED8" w:rsidR="00DA63C0" w:rsidRDefault="00DA63C0" w:rsidP="002E7219">
            <w:r>
              <w:t>SOA Post level term indicator</w:t>
            </w:r>
          </w:p>
        </w:tc>
        <w:tc>
          <w:tcPr>
            <w:tcW w:w="1115" w:type="dxa"/>
          </w:tcPr>
          <w:p w14:paraId="7D5DF8FA" w14:textId="4B219DE4" w:rsidR="00DA63C0" w:rsidRDefault="00DA63C0" w:rsidP="002E7219">
            <w:r>
              <w:t>NA</w:t>
            </w:r>
          </w:p>
        </w:tc>
        <w:tc>
          <w:tcPr>
            <w:tcW w:w="3023" w:type="dxa"/>
          </w:tcPr>
          <w:p w14:paraId="19258F1A" w14:textId="27AD67A2" w:rsidR="00DA63C0" w:rsidRDefault="00DA63C0" w:rsidP="002E7219">
            <w:pPr>
              <w:pStyle w:val="ListParagraph"/>
              <w:numPr>
                <w:ilvl w:val="0"/>
                <w:numId w:val="30"/>
              </w:numPr>
            </w:pPr>
            <w:r>
              <w:t>None.</w:t>
            </w:r>
          </w:p>
        </w:tc>
        <w:tc>
          <w:tcPr>
            <w:tcW w:w="4242" w:type="dxa"/>
          </w:tcPr>
          <w:p w14:paraId="50EF8AB9" w14:textId="79575D90" w:rsidR="00DA63C0" w:rsidRDefault="00DA63C0" w:rsidP="002E7219">
            <w:pPr>
              <w:pStyle w:val="ListParagraph"/>
              <w:numPr>
                <w:ilvl w:val="0"/>
                <w:numId w:val="30"/>
              </w:numPr>
            </w:pPr>
            <w:r>
              <w:t>None.</w:t>
            </w:r>
          </w:p>
        </w:tc>
      </w:tr>
      <w:tr w:rsidR="00DA63C0" w14:paraId="45A20268" w14:textId="77777777" w:rsidTr="00261986">
        <w:tc>
          <w:tcPr>
            <w:tcW w:w="2697" w:type="dxa"/>
          </w:tcPr>
          <w:p w14:paraId="45376FD2" w14:textId="14092A7D" w:rsidR="00DA63C0" w:rsidRDefault="00DA63C0" w:rsidP="002E7219">
            <w:proofErr w:type="spellStart"/>
            <w:r>
              <w:t>Select_Ultimate_Indicator</w:t>
            </w:r>
            <w:proofErr w:type="spellEnd"/>
          </w:p>
        </w:tc>
        <w:tc>
          <w:tcPr>
            <w:tcW w:w="1115" w:type="dxa"/>
          </w:tcPr>
          <w:p w14:paraId="7AC9ACFE" w14:textId="78D0B2B8" w:rsidR="00DA63C0" w:rsidRDefault="00DA63C0" w:rsidP="002E7219">
            <w:r>
              <w:t>NA</w:t>
            </w:r>
          </w:p>
        </w:tc>
        <w:tc>
          <w:tcPr>
            <w:tcW w:w="3023" w:type="dxa"/>
          </w:tcPr>
          <w:p w14:paraId="25FE8715" w14:textId="4821973E" w:rsidR="00DA63C0" w:rsidRDefault="00DA63C0" w:rsidP="002E7219">
            <w:pPr>
              <w:pStyle w:val="ListParagraph"/>
              <w:numPr>
                <w:ilvl w:val="0"/>
                <w:numId w:val="30"/>
              </w:numPr>
            </w:pPr>
            <w:r>
              <w:t>None.</w:t>
            </w:r>
          </w:p>
        </w:tc>
        <w:tc>
          <w:tcPr>
            <w:tcW w:w="4242" w:type="dxa"/>
          </w:tcPr>
          <w:p w14:paraId="3090FF61" w14:textId="5DEE7E66" w:rsidR="00DA63C0" w:rsidRDefault="00DA63C0" w:rsidP="002E7219">
            <w:pPr>
              <w:pStyle w:val="ListParagraph"/>
              <w:numPr>
                <w:ilvl w:val="0"/>
                <w:numId w:val="30"/>
              </w:numPr>
            </w:pPr>
            <w:r>
              <w:t>None.</w:t>
            </w:r>
          </w:p>
        </w:tc>
      </w:tr>
    </w:tbl>
    <w:p w14:paraId="464B51D7" w14:textId="77777777" w:rsidR="00607522" w:rsidRPr="00607522" w:rsidRDefault="00607522" w:rsidP="00607522"/>
    <w:p w14:paraId="5A8DDFB7" w14:textId="481E9E24" w:rsidR="00706F41" w:rsidRDefault="00B02F1A" w:rsidP="00706F41">
      <w:pPr>
        <w:pStyle w:val="Heading1"/>
      </w:pPr>
      <w:bookmarkStart w:id="2" w:name="_GoBack"/>
      <w:bookmarkEnd w:id="2"/>
      <w:r>
        <w:t>Section X</w:t>
      </w:r>
      <w:r w:rsidR="00EE688D">
        <w:t>V</w:t>
      </w:r>
      <w:r w:rsidR="00706F41" w:rsidRPr="00275E5C">
        <w:t xml:space="preserve">: </w:t>
      </w:r>
      <w:r w:rsidR="00706F41">
        <w:t>Appendix</w:t>
      </w:r>
    </w:p>
    <w:p w14:paraId="4EA7A2DE" w14:textId="79E30109" w:rsidR="000D5F41" w:rsidRDefault="004C5370" w:rsidP="00642DEC">
      <w:pPr>
        <w:pStyle w:val="Heading2"/>
      </w:pPr>
      <w:r>
        <w:t>Actuarial Standards of Practice (ASOPs)</w:t>
      </w:r>
    </w:p>
    <w:p w14:paraId="6916064E" w14:textId="77777777" w:rsidR="000D5F41" w:rsidRDefault="000D5F41" w:rsidP="000D5F41">
      <w:r>
        <w:t>ASOP 23 Data Selection</w:t>
      </w:r>
    </w:p>
    <w:p w14:paraId="0CFCC345" w14:textId="77777777" w:rsidR="000D5F41" w:rsidRDefault="000D5F41" w:rsidP="000D5F41">
      <w:pPr>
        <w:pStyle w:val="ListParagraph"/>
        <w:numPr>
          <w:ilvl w:val="0"/>
          <w:numId w:val="19"/>
        </w:numPr>
      </w:pPr>
      <w:r>
        <w:t xml:space="preserve">All data was provided to us by the SOA.  </w:t>
      </w:r>
    </w:p>
    <w:p w14:paraId="57DBD4E1" w14:textId="77777777" w:rsidR="000D5F41" w:rsidRDefault="000D5F41" w:rsidP="000D5F41">
      <w:pPr>
        <w:pStyle w:val="ListParagraph"/>
        <w:numPr>
          <w:ilvl w:val="0"/>
          <w:numId w:val="19"/>
        </w:numPr>
      </w:pPr>
      <w:r>
        <w:t>The only intended use of this analysis is the SOA contest.  This data is reasonable for this purpose.</w:t>
      </w:r>
    </w:p>
    <w:p w14:paraId="27829907" w14:textId="77777777" w:rsidR="000D5F41" w:rsidRDefault="000D5F41" w:rsidP="000D5F41">
      <w:pPr>
        <w:pStyle w:val="ListParagraph"/>
        <w:numPr>
          <w:ilvl w:val="0"/>
          <w:numId w:val="19"/>
        </w:numPr>
      </w:pPr>
      <w:r>
        <w:t>Data Definitions:  provided.  Some vague entries – and little feedback.</w:t>
      </w:r>
    </w:p>
    <w:p w14:paraId="58355A7D" w14:textId="77777777" w:rsidR="000D5F41" w:rsidRDefault="000D5F41" w:rsidP="000D5F41">
      <w:pPr>
        <w:pStyle w:val="ListParagraph"/>
        <w:numPr>
          <w:ilvl w:val="0"/>
          <w:numId w:val="19"/>
        </w:numPr>
      </w:pPr>
      <w:r>
        <w:t>Identify questionable values – this was the purpose of the report.</w:t>
      </w:r>
    </w:p>
    <w:p w14:paraId="11DD490D" w14:textId="77777777" w:rsidR="000D5F41" w:rsidRDefault="000D5F41" w:rsidP="000D5F41">
      <w:pPr>
        <w:pStyle w:val="ListParagraph"/>
        <w:numPr>
          <w:ilvl w:val="0"/>
          <w:numId w:val="19"/>
        </w:numPr>
      </w:pPr>
      <w:r>
        <w:t>In my professional judgment – this data is sufficient to perform the analysis.</w:t>
      </w:r>
    </w:p>
    <w:p w14:paraId="714830D1" w14:textId="77777777" w:rsidR="000D5F41" w:rsidRDefault="000D5F41" w:rsidP="000D5F41">
      <w:r>
        <w:t>ASOP 25</w:t>
      </w:r>
    </w:p>
    <w:p w14:paraId="7985AB7F" w14:textId="77777777" w:rsidR="000D5F41" w:rsidRDefault="000D5F41" w:rsidP="000D5F41">
      <w:pPr>
        <w:pStyle w:val="ListParagraph"/>
        <w:numPr>
          <w:ilvl w:val="0"/>
          <w:numId w:val="20"/>
        </w:numPr>
      </w:pPr>
      <w:r>
        <w:t>Classical Credibility (3,007) was used.</w:t>
      </w:r>
    </w:p>
    <w:p w14:paraId="181124CB" w14:textId="77777777" w:rsidR="000D5F41" w:rsidRDefault="000D5F41" w:rsidP="000D5F41">
      <w:pPr>
        <w:pStyle w:val="ListParagraph"/>
        <w:numPr>
          <w:ilvl w:val="0"/>
          <w:numId w:val="20"/>
        </w:numPr>
      </w:pPr>
      <w:r>
        <w:t>This is expected to produce reasonable results.</w:t>
      </w:r>
    </w:p>
    <w:p w14:paraId="64BD4ABF" w14:textId="77777777" w:rsidR="000D5F41" w:rsidRDefault="000D5F41" w:rsidP="000D5F41">
      <w:pPr>
        <w:pStyle w:val="ListParagraph"/>
        <w:numPr>
          <w:ilvl w:val="0"/>
          <w:numId w:val="20"/>
        </w:numPr>
      </w:pPr>
      <w:r>
        <w:t>This is appropriate for the intended use and purpose.</w:t>
      </w:r>
    </w:p>
    <w:p w14:paraId="4CE97AC5" w14:textId="77777777" w:rsidR="000D5F41" w:rsidRDefault="000D5F41" w:rsidP="000D5F41">
      <w:pPr>
        <w:pStyle w:val="ListParagraph"/>
        <w:numPr>
          <w:ilvl w:val="0"/>
          <w:numId w:val="20"/>
        </w:numPr>
      </w:pPr>
      <w:r>
        <w:t>This is practical to implement when considering cost and benefit of employing a procedure.</w:t>
      </w:r>
    </w:p>
    <w:p w14:paraId="3417BB4C" w14:textId="77777777" w:rsidR="000D5F41" w:rsidRDefault="000D5F41" w:rsidP="000D5F41">
      <w:r>
        <w:t>ASOP 41:  Communications and Disclosures</w:t>
      </w:r>
    </w:p>
    <w:p w14:paraId="0D792363" w14:textId="77777777" w:rsidR="000D5F41" w:rsidRDefault="000D5F41" w:rsidP="000D5F41">
      <w:pPr>
        <w:pStyle w:val="ListParagraph"/>
        <w:numPr>
          <w:ilvl w:val="0"/>
          <w:numId w:val="18"/>
        </w:numPr>
      </w:pPr>
      <w:r>
        <w:t>Responsible Actuary:  Tommy Steed</w:t>
      </w:r>
    </w:p>
    <w:p w14:paraId="7B4F3918" w14:textId="61846BE8" w:rsidR="000D5F41" w:rsidRDefault="000D5F41" w:rsidP="000D5F41">
      <w:pPr>
        <w:pStyle w:val="ListParagraph"/>
        <w:numPr>
          <w:ilvl w:val="0"/>
          <w:numId w:val="18"/>
        </w:numPr>
      </w:pPr>
      <w:r>
        <w:t>Actuarial Documents:</w:t>
      </w:r>
      <w:r w:rsidR="00D9594C">
        <w:t xml:space="preserve">  See </w:t>
      </w:r>
      <w:r w:rsidR="0054611A">
        <w:t>GitHub</w:t>
      </w:r>
      <w:r w:rsidR="00D9594C">
        <w:t xml:space="preserve"> repository</w:t>
      </w:r>
    </w:p>
    <w:p w14:paraId="294E4D66" w14:textId="77777777" w:rsidR="000D5F41" w:rsidRDefault="000D5F41" w:rsidP="000D5F41">
      <w:pPr>
        <w:pStyle w:val="ListParagraph"/>
        <w:numPr>
          <w:ilvl w:val="0"/>
          <w:numId w:val="18"/>
        </w:numPr>
      </w:pPr>
      <w:r>
        <w:t>Intended Users:  judges of the SOA Contest</w:t>
      </w:r>
    </w:p>
    <w:p w14:paraId="3BFC0950" w14:textId="584809D6" w:rsidR="000D5F41" w:rsidRDefault="000D5F41" w:rsidP="000D5F41">
      <w:pPr>
        <w:pStyle w:val="ListParagraph"/>
        <w:numPr>
          <w:ilvl w:val="0"/>
          <w:numId w:val="18"/>
        </w:numPr>
      </w:pPr>
      <w:r>
        <w:t>Scope and Intended Purpose:</w:t>
      </w:r>
      <w:r w:rsidR="00D9594C">
        <w:t xml:space="preserve">  </w:t>
      </w:r>
      <w:r w:rsidR="00B62CF7">
        <w:t>All analysis was done in support of the SOA data contest.</w:t>
      </w:r>
    </w:p>
    <w:p w14:paraId="4EFE11EF" w14:textId="2FF95965" w:rsidR="000D5F41" w:rsidRDefault="000D5F41" w:rsidP="000D5F41">
      <w:pPr>
        <w:pStyle w:val="ListParagraph"/>
        <w:numPr>
          <w:ilvl w:val="0"/>
          <w:numId w:val="18"/>
        </w:numPr>
      </w:pPr>
      <w:r>
        <w:t>Information on which we relied:</w:t>
      </w:r>
      <w:r w:rsidR="00B62CF7">
        <w:t xml:space="preserve">  SOA contest dataset.</w:t>
      </w:r>
    </w:p>
    <w:p w14:paraId="7FB5FCC8" w14:textId="77777777" w:rsidR="000D5F41" w:rsidRDefault="000D5F41" w:rsidP="000D5F41">
      <w:pPr>
        <w:pStyle w:val="ListParagraph"/>
        <w:numPr>
          <w:ilvl w:val="0"/>
          <w:numId w:val="18"/>
        </w:numPr>
      </w:pPr>
      <w:r>
        <w:t>Reliance on others:  All data was provided by the SOA.</w:t>
      </w:r>
    </w:p>
    <w:p w14:paraId="10DC28CD" w14:textId="10D1C46B" w:rsidR="000D5F41" w:rsidRPr="00642DEC" w:rsidRDefault="0064292F" w:rsidP="00642DEC">
      <w:pPr>
        <w:pStyle w:val="Heading2"/>
      </w:pPr>
      <w:r>
        <w:t>Links</w:t>
      </w:r>
    </w:p>
    <w:p w14:paraId="1F14CA80" w14:textId="0BF6FD46" w:rsidR="00C07994" w:rsidRDefault="0054611A" w:rsidP="00706F41">
      <w:pPr>
        <w:rPr>
          <w:rStyle w:val="Hyperlink"/>
        </w:rPr>
      </w:pPr>
      <w:hyperlink r:id="rId23" w:history="1">
        <w:r w:rsidR="007B3749">
          <w:rPr>
            <w:rStyle w:val="Hyperlink"/>
          </w:rPr>
          <w:t>O</w:t>
        </w:r>
        <w:r w:rsidR="00706F41" w:rsidRPr="007B3749">
          <w:rPr>
            <w:rStyle w:val="Hyperlink"/>
          </w:rPr>
          <w:t xml:space="preserve">ur </w:t>
        </w:r>
        <w:r w:rsidR="00877F38">
          <w:rPr>
            <w:rStyle w:val="Hyperlink"/>
          </w:rPr>
          <w:t xml:space="preserve">GitHub Repository </w:t>
        </w:r>
        <w:r w:rsidR="007B3749">
          <w:rPr>
            <w:rStyle w:val="Hyperlink"/>
          </w:rPr>
          <w:t>(github.com/acolum/soa-data-analysis-contest)</w:t>
        </w:r>
      </w:hyperlink>
    </w:p>
    <w:p w14:paraId="1D5F1869" w14:textId="16A79DE1" w:rsidR="00F3342C" w:rsidRDefault="00F3342C" w:rsidP="00706F41">
      <w:pPr>
        <w:rPr>
          <w:rStyle w:val="Hyperlink"/>
        </w:rPr>
      </w:pPr>
    </w:p>
    <w:p w14:paraId="3760775D" w14:textId="0ACFEE39" w:rsidR="00B62CF7" w:rsidRDefault="00B62CF7" w:rsidP="00706F41">
      <w:pPr>
        <w:rPr>
          <w:rStyle w:val="Hyperlink"/>
        </w:rPr>
      </w:pPr>
    </w:p>
    <w:p w14:paraId="65F2C677" w14:textId="2DB4A131" w:rsidR="00B62CF7" w:rsidRDefault="00B62CF7" w:rsidP="00706F41">
      <w:pPr>
        <w:rPr>
          <w:rStyle w:val="Hyperlink"/>
        </w:rPr>
      </w:pPr>
    </w:p>
    <w:p w14:paraId="0598A61A" w14:textId="4C28E9FE" w:rsidR="00B62CF7" w:rsidRDefault="00B62CF7" w:rsidP="00706F41">
      <w:pPr>
        <w:rPr>
          <w:rStyle w:val="Hyperlink"/>
        </w:rPr>
      </w:pPr>
    </w:p>
    <w:p w14:paraId="58A5981A" w14:textId="63C90DB0" w:rsidR="00B62CF7" w:rsidRDefault="00B62CF7" w:rsidP="00706F41">
      <w:pPr>
        <w:rPr>
          <w:rStyle w:val="Hyperlink"/>
        </w:rPr>
      </w:pPr>
    </w:p>
    <w:p w14:paraId="331EF686" w14:textId="7B4306A9" w:rsidR="00B62CF7" w:rsidRPr="00B62CF7" w:rsidRDefault="00B62CF7" w:rsidP="00B62CF7">
      <w:pPr>
        <w:pStyle w:val="Heading2"/>
        <w:rPr>
          <w:rStyle w:val="Hyperlink"/>
          <w:color w:val="365F91" w:themeColor="accent1" w:themeShade="BF"/>
          <w:u w:val="none"/>
        </w:rPr>
      </w:pPr>
      <w:r>
        <w:lastRenderedPageBreak/>
        <w:t>Additional Tables</w:t>
      </w:r>
    </w:p>
    <w:p w14:paraId="5A37E637" w14:textId="36CBD6A3" w:rsidR="00F3342C" w:rsidRDefault="00B62CF7" w:rsidP="00706F41">
      <w:r>
        <w:rPr>
          <w:noProof/>
        </w:rPr>
        <mc:AlternateContent>
          <mc:Choice Requires="wps">
            <w:drawing>
              <wp:anchor distT="0" distB="0" distL="114300" distR="114300" simplePos="0" relativeHeight="251683840" behindDoc="0" locked="0" layoutInCell="1" allowOverlap="1" wp14:anchorId="53B8448A" wp14:editId="44F5FBB0">
                <wp:simplePos x="0" y="0"/>
                <wp:positionH relativeFrom="margin">
                  <wp:align>left</wp:align>
                </wp:positionH>
                <wp:positionV relativeFrom="paragraph">
                  <wp:posOffset>4926708</wp:posOffset>
                </wp:positionV>
                <wp:extent cx="34099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28873AFF" w14:textId="59DABD30" w:rsidR="00B62CF7" w:rsidRPr="002D697C" w:rsidRDefault="00B62CF7" w:rsidP="00B62CF7">
                            <w:pPr>
                              <w:pStyle w:val="Caption"/>
                              <w:rPr>
                                <w:noProof/>
                              </w:rPr>
                            </w:pPr>
                            <w:r>
                              <w:t xml:space="preserve">Figure </w:t>
                            </w:r>
                            <w:r w:rsidR="0054611A">
                              <w:fldChar w:fldCharType="begin"/>
                            </w:r>
                            <w:r w:rsidR="0054611A">
                              <w:instrText xml:space="preserve"> SEQ Figure \* ARABIC </w:instrText>
                            </w:r>
                            <w:r w:rsidR="0054611A">
                              <w:fldChar w:fldCharType="separate"/>
                            </w:r>
                            <w:r w:rsidR="00540404">
                              <w:rPr>
                                <w:noProof/>
                              </w:rPr>
                              <w:t>18</w:t>
                            </w:r>
                            <w:r w:rsidR="0054611A">
                              <w:rPr>
                                <w:noProof/>
                              </w:rPr>
                              <w:fldChar w:fldCharType="end"/>
                            </w:r>
                            <w:r>
                              <w:t>: Guaranteed Term by Anticipated Term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B8448A" id="Text Box 11" o:spid="_x0000_s1035" type="#_x0000_t202" style="position:absolute;margin-left:0;margin-top:387.95pt;width:268.5pt;height:.0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" stroked="f">
                <v:textbox style="mso-fit-shape-to-text:t" inset="0,0,0,0">
                  <w:txbxContent>
                    <w:p w14:paraId="28873AFF" w14:textId="59DABD30" w:rsidR="00B62CF7" w:rsidRPr="002D697C" w:rsidRDefault="00B62CF7" w:rsidP="00B62CF7">
                      <w:pPr>
                        <w:pStyle w:val="Caption"/>
                        <w:rPr>
                          <w:noProof/>
                        </w:rPr>
                      </w:pPr>
                      <w:r>
                        <w:t xml:space="preserve">Figure </w:t>
                      </w:r>
                      <w:fldSimple w:instr=" SEQ Figure \* ARABIC ">
                        <w:r w:rsidR="00540404">
                          <w:rPr>
                            <w:noProof/>
                          </w:rPr>
                          <w:t>18</w:t>
                        </w:r>
                      </w:fldSimple>
                      <w:r>
                        <w:t>: Guaranteed Term by Anticipated Term period</w:t>
                      </w:r>
                    </w:p>
                  </w:txbxContent>
                </v:textbox>
                <w10:wrap type="square" anchorx="margin"/>
              </v:shape>
            </w:pict>
          </mc:Fallback>
        </mc:AlternateContent>
      </w:r>
      <w:r w:rsidR="00F3342C" w:rsidRPr="0055512C">
        <w:rPr>
          <w:noProof/>
        </w:rPr>
        <w:drawing>
          <wp:inline distT="0" distB="0" distL="0" distR="0" wp14:anchorId="4AD3F9B9" wp14:editId="571BDB5F">
            <wp:extent cx="6858000" cy="4858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4858385"/>
                    </a:xfrm>
                    <a:prstGeom prst="rect">
                      <a:avLst/>
                    </a:prstGeom>
                    <a:noFill/>
                    <a:ln>
                      <a:noFill/>
                    </a:ln>
                  </pic:spPr>
                </pic:pic>
              </a:graphicData>
            </a:graphic>
          </wp:inline>
        </w:drawing>
      </w:r>
    </w:p>
    <w:p w14:paraId="4542A380" w14:textId="0EB0FC4D" w:rsidR="00B62CF7" w:rsidRDefault="00B62CF7" w:rsidP="00706F41"/>
    <w:sectPr w:rsidR="00B62CF7" w:rsidSect="00E22D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6126"/>
    <w:multiLevelType w:val="hybridMultilevel"/>
    <w:tmpl w:val="72E08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8E2A07"/>
    <w:multiLevelType w:val="hybridMultilevel"/>
    <w:tmpl w:val="BD40E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847372"/>
    <w:multiLevelType w:val="hybridMultilevel"/>
    <w:tmpl w:val="A8429CF6"/>
    <w:lvl w:ilvl="0" w:tplc="94E8EF30">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369B"/>
    <w:multiLevelType w:val="hybridMultilevel"/>
    <w:tmpl w:val="43AA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72450"/>
    <w:multiLevelType w:val="hybridMultilevel"/>
    <w:tmpl w:val="29260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1A5C12"/>
    <w:multiLevelType w:val="hybridMultilevel"/>
    <w:tmpl w:val="CAD2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D314C"/>
    <w:multiLevelType w:val="hybridMultilevel"/>
    <w:tmpl w:val="BB683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0265E"/>
    <w:multiLevelType w:val="hybridMultilevel"/>
    <w:tmpl w:val="43CE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10D36"/>
    <w:multiLevelType w:val="hybridMultilevel"/>
    <w:tmpl w:val="1DA4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0148B"/>
    <w:multiLevelType w:val="hybridMultilevel"/>
    <w:tmpl w:val="B4CC9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2876F0"/>
    <w:multiLevelType w:val="hybridMultilevel"/>
    <w:tmpl w:val="4346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4D5CDB"/>
    <w:multiLevelType w:val="hybridMultilevel"/>
    <w:tmpl w:val="0E0E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426A9"/>
    <w:multiLevelType w:val="hybridMultilevel"/>
    <w:tmpl w:val="FA764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E40D35"/>
    <w:multiLevelType w:val="hybridMultilevel"/>
    <w:tmpl w:val="AC66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8B05AC"/>
    <w:multiLevelType w:val="hybridMultilevel"/>
    <w:tmpl w:val="8502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94BDF"/>
    <w:multiLevelType w:val="hybridMultilevel"/>
    <w:tmpl w:val="F30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C420E"/>
    <w:multiLevelType w:val="hybridMultilevel"/>
    <w:tmpl w:val="BDE2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73E5D"/>
    <w:multiLevelType w:val="hybridMultilevel"/>
    <w:tmpl w:val="6C0C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E495B"/>
    <w:multiLevelType w:val="hybridMultilevel"/>
    <w:tmpl w:val="D242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129EA"/>
    <w:multiLevelType w:val="hybridMultilevel"/>
    <w:tmpl w:val="3FF6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E79DE"/>
    <w:multiLevelType w:val="hybridMultilevel"/>
    <w:tmpl w:val="0204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0B73CE"/>
    <w:multiLevelType w:val="hybridMultilevel"/>
    <w:tmpl w:val="123C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A022F"/>
    <w:multiLevelType w:val="hybridMultilevel"/>
    <w:tmpl w:val="06789258"/>
    <w:lvl w:ilvl="0" w:tplc="8AE4DA8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6C01BA"/>
    <w:multiLevelType w:val="hybridMultilevel"/>
    <w:tmpl w:val="61BE1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736CE5"/>
    <w:multiLevelType w:val="hybridMultilevel"/>
    <w:tmpl w:val="DCFC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F715E"/>
    <w:multiLevelType w:val="hybridMultilevel"/>
    <w:tmpl w:val="E97A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302E0"/>
    <w:multiLevelType w:val="hybridMultilevel"/>
    <w:tmpl w:val="F4E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6043C"/>
    <w:multiLevelType w:val="hybridMultilevel"/>
    <w:tmpl w:val="6FCAF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41464CC"/>
    <w:multiLevelType w:val="hybridMultilevel"/>
    <w:tmpl w:val="5A7E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907C56"/>
    <w:multiLevelType w:val="hybridMultilevel"/>
    <w:tmpl w:val="6F7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9"/>
  </w:num>
  <w:num w:numId="4">
    <w:abstractNumId w:val="15"/>
  </w:num>
  <w:num w:numId="5">
    <w:abstractNumId w:val="16"/>
  </w:num>
  <w:num w:numId="6">
    <w:abstractNumId w:val="17"/>
  </w:num>
  <w:num w:numId="7">
    <w:abstractNumId w:val="11"/>
  </w:num>
  <w:num w:numId="8">
    <w:abstractNumId w:val="24"/>
  </w:num>
  <w:num w:numId="9">
    <w:abstractNumId w:val="8"/>
  </w:num>
  <w:num w:numId="10">
    <w:abstractNumId w:val="14"/>
  </w:num>
  <w:num w:numId="11">
    <w:abstractNumId w:val="20"/>
  </w:num>
  <w:num w:numId="12">
    <w:abstractNumId w:val="28"/>
  </w:num>
  <w:num w:numId="13">
    <w:abstractNumId w:val="19"/>
  </w:num>
  <w:num w:numId="14">
    <w:abstractNumId w:val="26"/>
  </w:num>
  <w:num w:numId="15">
    <w:abstractNumId w:val="6"/>
  </w:num>
  <w:num w:numId="16">
    <w:abstractNumId w:val="5"/>
  </w:num>
  <w:num w:numId="17">
    <w:abstractNumId w:val="22"/>
  </w:num>
  <w:num w:numId="18">
    <w:abstractNumId w:val="25"/>
  </w:num>
  <w:num w:numId="19">
    <w:abstractNumId w:val="13"/>
  </w:num>
  <w:num w:numId="20">
    <w:abstractNumId w:val="7"/>
  </w:num>
  <w:num w:numId="21">
    <w:abstractNumId w:val="9"/>
  </w:num>
  <w:num w:numId="22">
    <w:abstractNumId w:val="10"/>
  </w:num>
  <w:num w:numId="23">
    <w:abstractNumId w:val="2"/>
  </w:num>
  <w:num w:numId="24">
    <w:abstractNumId w:val="23"/>
  </w:num>
  <w:num w:numId="25">
    <w:abstractNumId w:val="18"/>
  </w:num>
  <w:num w:numId="26">
    <w:abstractNumId w:val="1"/>
  </w:num>
  <w:num w:numId="27">
    <w:abstractNumId w:val="4"/>
  </w:num>
  <w:num w:numId="28">
    <w:abstractNumId w:val="27"/>
  </w:num>
  <w:num w:numId="29">
    <w:abstractNumId w:val="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739"/>
    <w:rsid w:val="00000739"/>
    <w:rsid w:val="000013C4"/>
    <w:rsid w:val="00013882"/>
    <w:rsid w:val="00013DDB"/>
    <w:rsid w:val="00022404"/>
    <w:rsid w:val="00024171"/>
    <w:rsid w:val="0004361F"/>
    <w:rsid w:val="000519E2"/>
    <w:rsid w:val="00061B2F"/>
    <w:rsid w:val="00065356"/>
    <w:rsid w:val="00065EB1"/>
    <w:rsid w:val="00066D21"/>
    <w:rsid w:val="000772A3"/>
    <w:rsid w:val="00084FFB"/>
    <w:rsid w:val="00087DA0"/>
    <w:rsid w:val="00092E7A"/>
    <w:rsid w:val="000959E0"/>
    <w:rsid w:val="000A4F92"/>
    <w:rsid w:val="000B58FC"/>
    <w:rsid w:val="000C1C99"/>
    <w:rsid w:val="000C357B"/>
    <w:rsid w:val="000C63A1"/>
    <w:rsid w:val="000D3DA0"/>
    <w:rsid w:val="000D5F41"/>
    <w:rsid w:val="000E0461"/>
    <w:rsid w:val="000E6119"/>
    <w:rsid w:val="000F0C3F"/>
    <w:rsid w:val="000F50C4"/>
    <w:rsid w:val="000F5208"/>
    <w:rsid w:val="00104842"/>
    <w:rsid w:val="00112FEC"/>
    <w:rsid w:val="00113E5D"/>
    <w:rsid w:val="0011595B"/>
    <w:rsid w:val="00127AE0"/>
    <w:rsid w:val="00132944"/>
    <w:rsid w:val="0013746A"/>
    <w:rsid w:val="001405D3"/>
    <w:rsid w:val="0014345F"/>
    <w:rsid w:val="00145DD4"/>
    <w:rsid w:val="00155A42"/>
    <w:rsid w:val="001621D7"/>
    <w:rsid w:val="00162FE4"/>
    <w:rsid w:val="00163D52"/>
    <w:rsid w:val="00165CA9"/>
    <w:rsid w:val="00170AF2"/>
    <w:rsid w:val="00172CC5"/>
    <w:rsid w:val="00186183"/>
    <w:rsid w:val="0019202E"/>
    <w:rsid w:val="001A2FA8"/>
    <w:rsid w:val="001A6B43"/>
    <w:rsid w:val="001C7F8D"/>
    <w:rsid w:val="001D3021"/>
    <w:rsid w:val="001D6BB1"/>
    <w:rsid w:val="001D7336"/>
    <w:rsid w:val="001E0987"/>
    <w:rsid w:val="001E1598"/>
    <w:rsid w:val="001E6AB3"/>
    <w:rsid w:val="001F0F81"/>
    <w:rsid w:val="002034E4"/>
    <w:rsid w:val="0020698B"/>
    <w:rsid w:val="00215ED0"/>
    <w:rsid w:val="002201FF"/>
    <w:rsid w:val="00235291"/>
    <w:rsid w:val="002438CC"/>
    <w:rsid w:val="002510E8"/>
    <w:rsid w:val="00255251"/>
    <w:rsid w:val="00261986"/>
    <w:rsid w:val="00263FFD"/>
    <w:rsid w:val="00266C18"/>
    <w:rsid w:val="0027251B"/>
    <w:rsid w:val="00284502"/>
    <w:rsid w:val="00294573"/>
    <w:rsid w:val="002A479C"/>
    <w:rsid w:val="002C61E1"/>
    <w:rsid w:val="002C6ED4"/>
    <w:rsid w:val="002D6A0F"/>
    <w:rsid w:val="002D7580"/>
    <w:rsid w:val="002E171F"/>
    <w:rsid w:val="002E2F8A"/>
    <w:rsid w:val="002E7219"/>
    <w:rsid w:val="002F28C2"/>
    <w:rsid w:val="002F4A99"/>
    <w:rsid w:val="0030386E"/>
    <w:rsid w:val="003042C8"/>
    <w:rsid w:val="003048BD"/>
    <w:rsid w:val="003075D5"/>
    <w:rsid w:val="003101EE"/>
    <w:rsid w:val="00311EFD"/>
    <w:rsid w:val="003218EC"/>
    <w:rsid w:val="003246A7"/>
    <w:rsid w:val="0032696A"/>
    <w:rsid w:val="00333D82"/>
    <w:rsid w:val="00345AB4"/>
    <w:rsid w:val="00347E92"/>
    <w:rsid w:val="00352526"/>
    <w:rsid w:val="00371DB3"/>
    <w:rsid w:val="0037293C"/>
    <w:rsid w:val="00373BBF"/>
    <w:rsid w:val="00375105"/>
    <w:rsid w:val="00383184"/>
    <w:rsid w:val="00394F6D"/>
    <w:rsid w:val="003978A4"/>
    <w:rsid w:val="00397D6E"/>
    <w:rsid w:val="003A4BA5"/>
    <w:rsid w:val="003B0EB0"/>
    <w:rsid w:val="003B4572"/>
    <w:rsid w:val="003F0F49"/>
    <w:rsid w:val="00407654"/>
    <w:rsid w:val="00407955"/>
    <w:rsid w:val="00417459"/>
    <w:rsid w:val="004222AA"/>
    <w:rsid w:val="004263A7"/>
    <w:rsid w:val="00465BEA"/>
    <w:rsid w:val="00474CBC"/>
    <w:rsid w:val="00483C64"/>
    <w:rsid w:val="004854CE"/>
    <w:rsid w:val="004A5A71"/>
    <w:rsid w:val="004B1339"/>
    <w:rsid w:val="004B24B1"/>
    <w:rsid w:val="004C2771"/>
    <w:rsid w:val="004C5370"/>
    <w:rsid w:val="004D2C74"/>
    <w:rsid w:val="004D4CD7"/>
    <w:rsid w:val="004D57A3"/>
    <w:rsid w:val="004E3509"/>
    <w:rsid w:val="004F4920"/>
    <w:rsid w:val="004F70BF"/>
    <w:rsid w:val="00512F07"/>
    <w:rsid w:val="00526022"/>
    <w:rsid w:val="00540404"/>
    <w:rsid w:val="00545B15"/>
    <w:rsid w:val="0054611A"/>
    <w:rsid w:val="0055512C"/>
    <w:rsid w:val="00582C2F"/>
    <w:rsid w:val="00586527"/>
    <w:rsid w:val="00590918"/>
    <w:rsid w:val="00590B02"/>
    <w:rsid w:val="00593F2B"/>
    <w:rsid w:val="005C158F"/>
    <w:rsid w:val="005C3F11"/>
    <w:rsid w:val="005C40CA"/>
    <w:rsid w:val="005D3F8F"/>
    <w:rsid w:val="005D7C18"/>
    <w:rsid w:val="005E3510"/>
    <w:rsid w:val="005F1157"/>
    <w:rsid w:val="005F4148"/>
    <w:rsid w:val="005F6456"/>
    <w:rsid w:val="00601995"/>
    <w:rsid w:val="00607522"/>
    <w:rsid w:val="00611195"/>
    <w:rsid w:val="0062575F"/>
    <w:rsid w:val="0064292F"/>
    <w:rsid w:val="00642DEC"/>
    <w:rsid w:val="00650EF9"/>
    <w:rsid w:val="0065116F"/>
    <w:rsid w:val="00667A0C"/>
    <w:rsid w:val="0068474E"/>
    <w:rsid w:val="00685464"/>
    <w:rsid w:val="00691267"/>
    <w:rsid w:val="006955E5"/>
    <w:rsid w:val="006A1163"/>
    <w:rsid w:val="006C3921"/>
    <w:rsid w:val="006D6B61"/>
    <w:rsid w:val="006E2C4D"/>
    <w:rsid w:val="006E5DAF"/>
    <w:rsid w:val="006F16B1"/>
    <w:rsid w:val="006F354F"/>
    <w:rsid w:val="00703504"/>
    <w:rsid w:val="00706F41"/>
    <w:rsid w:val="00730E34"/>
    <w:rsid w:val="00731FB8"/>
    <w:rsid w:val="00747AB5"/>
    <w:rsid w:val="00747DBB"/>
    <w:rsid w:val="00773EBA"/>
    <w:rsid w:val="00783EB0"/>
    <w:rsid w:val="00784039"/>
    <w:rsid w:val="00787017"/>
    <w:rsid w:val="00791BCD"/>
    <w:rsid w:val="007B3749"/>
    <w:rsid w:val="007B6724"/>
    <w:rsid w:val="007B6D45"/>
    <w:rsid w:val="007C1C18"/>
    <w:rsid w:val="007C58F3"/>
    <w:rsid w:val="007C7192"/>
    <w:rsid w:val="007D5BD2"/>
    <w:rsid w:val="007E02C9"/>
    <w:rsid w:val="007F2D1D"/>
    <w:rsid w:val="008008E2"/>
    <w:rsid w:val="00832915"/>
    <w:rsid w:val="00834D8E"/>
    <w:rsid w:val="0085179A"/>
    <w:rsid w:val="00853FEA"/>
    <w:rsid w:val="008616B8"/>
    <w:rsid w:val="008616EB"/>
    <w:rsid w:val="00875AC3"/>
    <w:rsid w:val="00877F38"/>
    <w:rsid w:val="00884AE0"/>
    <w:rsid w:val="00893A1F"/>
    <w:rsid w:val="008A11BC"/>
    <w:rsid w:val="008A282A"/>
    <w:rsid w:val="008A59BD"/>
    <w:rsid w:val="008A772C"/>
    <w:rsid w:val="008B320B"/>
    <w:rsid w:val="008C4427"/>
    <w:rsid w:val="008C7889"/>
    <w:rsid w:val="008D5C8D"/>
    <w:rsid w:val="008D7FC4"/>
    <w:rsid w:val="0090285C"/>
    <w:rsid w:val="0090475D"/>
    <w:rsid w:val="00904C4A"/>
    <w:rsid w:val="00914BD7"/>
    <w:rsid w:val="00917369"/>
    <w:rsid w:val="009211E5"/>
    <w:rsid w:val="0093039C"/>
    <w:rsid w:val="00932342"/>
    <w:rsid w:val="00932CC2"/>
    <w:rsid w:val="009345FF"/>
    <w:rsid w:val="00944327"/>
    <w:rsid w:val="0095706E"/>
    <w:rsid w:val="0098417D"/>
    <w:rsid w:val="00990E63"/>
    <w:rsid w:val="0099201F"/>
    <w:rsid w:val="00997227"/>
    <w:rsid w:val="009A2149"/>
    <w:rsid w:val="009B7E3D"/>
    <w:rsid w:val="009C4AA4"/>
    <w:rsid w:val="009C622E"/>
    <w:rsid w:val="009D3CEF"/>
    <w:rsid w:val="009E0013"/>
    <w:rsid w:val="009E77A8"/>
    <w:rsid w:val="009E7BF4"/>
    <w:rsid w:val="009F6ED6"/>
    <w:rsid w:val="00A05BBD"/>
    <w:rsid w:val="00A07139"/>
    <w:rsid w:val="00A17149"/>
    <w:rsid w:val="00A224AB"/>
    <w:rsid w:val="00A30529"/>
    <w:rsid w:val="00A33ED3"/>
    <w:rsid w:val="00A34371"/>
    <w:rsid w:val="00A36641"/>
    <w:rsid w:val="00A41944"/>
    <w:rsid w:val="00A552DD"/>
    <w:rsid w:val="00A6073E"/>
    <w:rsid w:val="00A7500D"/>
    <w:rsid w:val="00A83251"/>
    <w:rsid w:val="00A9465D"/>
    <w:rsid w:val="00A94B75"/>
    <w:rsid w:val="00AA0369"/>
    <w:rsid w:val="00AC2C25"/>
    <w:rsid w:val="00AC4F18"/>
    <w:rsid w:val="00AC535F"/>
    <w:rsid w:val="00AC6110"/>
    <w:rsid w:val="00AE13CF"/>
    <w:rsid w:val="00AE1824"/>
    <w:rsid w:val="00AE31DB"/>
    <w:rsid w:val="00AF091C"/>
    <w:rsid w:val="00AF3243"/>
    <w:rsid w:val="00AF4970"/>
    <w:rsid w:val="00B0050D"/>
    <w:rsid w:val="00B02F1A"/>
    <w:rsid w:val="00B148C4"/>
    <w:rsid w:val="00B26E34"/>
    <w:rsid w:val="00B278FA"/>
    <w:rsid w:val="00B3150D"/>
    <w:rsid w:val="00B32207"/>
    <w:rsid w:val="00B36ADE"/>
    <w:rsid w:val="00B41868"/>
    <w:rsid w:val="00B43BC2"/>
    <w:rsid w:val="00B4527F"/>
    <w:rsid w:val="00B52F55"/>
    <w:rsid w:val="00B62CF7"/>
    <w:rsid w:val="00B663B5"/>
    <w:rsid w:val="00B676E3"/>
    <w:rsid w:val="00B67AD6"/>
    <w:rsid w:val="00B70737"/>
    <w:rsid w:val="00B964EA"/>
    <w:rsid w:val="00BA79B9"/>
    <w:rsid w:val="00BB7083"/>
    <w:rsid w:val="00BC19E5"/>
    <w:rsid w:val="00BC3F87"/>
    <w:rsid w:val="00BC520D"/>
    <w:rsid w:val="00BD47B3"/>
    <w:rsid w:val="00BD7B8B"/>
    <w:rsid w:val="00BE020F"/>
    <w:rsid w:val="00C07994"/>
    <w:rsid w:val="00C12AE4"/>
    <w:rsid w:val="00C168D1"/>
    <w:rsid w:val="00C178BE"/>
    <w:rsid w:val="00C21FCD"/>
    <w:rsid w:val="00C2200C"/>
    <w:rsid w:val="00C22342"/>
    <w:rsid w:val="00C227A9"/>
    <w:rsid w:val="00C42807"/>
    <w:rsid w:val="00C433B0"/>
    <w:rsid w:val="00C53175"/>
    <w:rsid w:val="00C53D32"/>
    <w:rsid w:val="00C55814"/>
    <w:rsid w:val="00C63D58"/>
    <w:rsid w:val="00C64276"/>
    <w:rsid w:val="00C71E18"/>
    <w:rsid w:val="00C73A71"/>
    <w:rsid w:val="00C76845"/>
    <w:rsid w:val="00C80097"/>
    <w:rsid w:val="00C939BD"/>
    <w:rsid w:val="00C942EE"/>
    <w:rsid w:val="00C94381"/>
    <w:rsid w:val="00CB04A8"/>
    <w:rsid w:val="00CB5993"/>
    <w:rsid w:val="00CD0FCE"/>
    <w:rsid w:val="00CD2C09"/>
    <w:rsid w:val="00CE0BD4"/>
    <w:rsid w:val="00D002E4"/>
    <w:rsid w:val="00D05176"/>
    <w:rsid w:val="00D22187"/>
    <w:rsid w:val="00D301D8"/>
    <w:rsid w:val="00D44887"/>
    <w:rsid w:val="00D52EC3"/>
    <w:rsid w:val="00D54954"/>
    <w:rsid w:val="00D57583"/>
    <w:rsid w:val="00D62864"/>
    <w:rsid w:val="00D6442B"/>
    <w:rsid w:val="00D64D4A"/>
    <w:rsid w:val="00D65773"/>
    <w:rsid w:val="00D716CA"/>
    <w:rsid w:val="00D81DA9"/>
    <w:rsid w:val="00D8633A"/>
    <w:rsid w:val="00D872F2"/>
    <w:rsid w:val="00D9594C"/>
    <w:rsid w:val="00DA3C9C"/>
    <w:rsid w:val="00DA47C9"/>
    <w:rsid w:val="00DA63C0"/>
    <w:rsid w:val="00DB3CB0"/>
    <w:rsid w:val="00DC101C"/>
    <w:rsid w:val="00DE4516"/>
    <w:rsid w:val="00DF327F"/>
    <w:rsid w:val="00DF78C3"/>
    <w:rsid w:val="00E04235"/>
    <w:rsid w:val="00E05676"/>
    <w:rsid w:val="00E126C2"/>
    <w:rsid w:val="00E225B0"/>
    <w:rsid w:val="00E22636"/>
    <w:rsid w:val="00E22DFA"/>
    <w:rsid w:val="00E40D74"/>
    <w:rsid w:val="00E62C32"/>
    <w:rsid w:val="00E649FF"/>
    <w:rsid w:val="00E85B0D"/>
    <w:rsid w:val="00E90075"/>
    <w:rsid w:val="00EA072D"/>
    <w:rsid w:val="00EB183E"/>
    <w:rsid w:val="00EB4097"/>
    <w:rsid w:val="00EC5AB8"/>
    <w:rsid w:val="00ED7AE8"/>
    <w:rsid w:val="00EE688D"/>
    <w:rsid w:val="00EE6C71"/>
    <w:rsid w:val="00EF28F9"/>
    <w:rsid w:val="00EF3820"/>
    <w:rsid w:val="00EF41F1"/>
    <w:rsid w:val="00F01DC1"/>
    <w:rsid w:val="00F031E7"/>
    <w:rsid w:val="00F11932"/>
    <w:rsid w:val="00F1339B"/>
    <w:rsid w:val="00F22680"/>
    <w:rsid w:val="00F23624"/>
    <w:rsid w:val="00F23F06"/>
    <w:rsid w:val="00F25B5A"/>
    <w:rsid w:val="00F26D76"/>
    <w:rsid w:val="00F27942"/>
    <w:rsid w:val="00F3342C"/>
    <w:rsid w:val="00F341DA"/>
    <w:rsid w:val="00F361E1"/>
    <w:rsid w:val="00F4599E"/>
    <w:rsid w:val="00F54941"/>
    <w:rsid w:val="00F612DD"/>
    <w:rsid w:val="00F6572D"/>
    <w:rsid w:val="00FC2BED"/>
    <w:rsid w:val="00FD2792"/>
    <w:rsid w:val="00FE460B"/>
    <w:rsid w:val="00FE6694"/>
    <w:rsid w:val="00FF1201"/>
    <w:rsid w:val="00FF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25AE"/>
  <w15:chartTrackingRefBased/>
  <w15:docId w15:val="{45175EF3-769B-4C09-9C27-B84E93D0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A11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F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739"/>
    <w:pPr>
      <w:ind w:left="720"/>
      <w:contextualSpacing/>
    </w:pPr>
  </w:style>
  <w:style w:type="paragraph" w:styleId="BalloonText">
    <w:name w:val="Balloon Text"/>
    <w:basedOn w:val="Normal"/>
    <w:link w:val="BalloonTextChar"/>
    <w:uiPriority w:val="99"/>
    <w:semiHidden/>
    <w:unhideWhenUsed/>
    <w:rsid w:val="00417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459"/>
    <w:rPr>
      <w:rFonts w:ascii="Segoe UI" w:hAnsi="Segoe UI" w:cs="Segoe UI"/>
      <w:sz w:val="18"/>
      <w:szCs w:val="18"/>
    </w:rPr>
  </w:style>
  <w:style w:type="character" w:styleId="Hyperlink">
    <w:name w:val="Hyperlink"/>
    <w:basedOn w:val="DefaultParagraphFont"/>
    <w:uiPriority w:val="99"/>
    <w:unhideWhenUsed/>
    <w:rsid w:val="00526022"/>
    <w:rPr>
      <w:color w:val="0000FF" w:themeColor="hyperlink"/>
      <w:u w:val="single"/>
    </w:rPr>
  </w:style>
  <w:style w:type="character" w:styleId="UnresolvedMention">
    <w:name w:val="Unresolved Mention"/>
    <w:basedOn w:val="DefaultParagraphFont"/>
    <w:uiPriority w:val="99"/>
    <w:semiHidden/>
    <w:unhideWhenUsed/>
    <w:rsid w:val="00526022"/>
    <w:rPr>
      <w:color w:val="808080"/>
      <w:shd w:val="clear" w:color="auto" w:fill="E6E6E6"/>
    </w:rPr>
  </w:style>
  <w:style w:type="paragraph" w:styleId="NoSpacing">
    <w:name w:val="No Spacing"/>
    <w:link w:val="NoSpacingChar"/>
    <w:uiPriority w:val="1"/>
    <w:qFormat/>
    <w:rsid w:val="007D5BD2"/>
    <w:pPr>
      <w:spacing w:after="0" w:line="240" w:lineRule="auto"/>
    </w:pPr>
    <w:rPr>
      <w:rFonts w:eastAsiaTheme="minorEastAsia"/>
    </w:rPr>
  </w:style>
  <w:style w:type="character" w:customStyle="1" w:styleId="NoSpacingChar">
    <w:name w:val="No Spacing Char"/>
    <w:basedOn w:val="DefaultParagraphFont"/>
    <w:link w:val="NoSpacing"/>
    <w:uiPriority w:val="1"/>
    <w:rsid w:val="007D5BD2"/>
    <w:rPr>
      <w:rFonts w:eastAsiaTheme="minorEastAsia"/>
    </w:rPr>
  </w:style>
  <w:style w:type="character" w:customStyle="1" w:styleId="Heading1Char">
    <w:name w:val="Heading 1 Char"/>
    <w:basedOn w:val="DefaultParagraphFont"/>
    <w:link w:val="Heading1"/>
    <w:rsid w:val="008A11BC"/>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C07994"/>
    <w:rPr>
      <w:sz w:val="16"/>
      <w:szCs w:val="16"/>
    </w:rPr>
  </w:style>
  <w:style w:type="paragraph" w:styleId="CommentText">
    <w:name w:val="annotation text"/>
    <w:basedOn w:val="Normal"/>
    <w:link w:val="CommentTextChar"/>
    <w:uiPriority w:val="99"/>
    <w:semiHidden/>
    <w:unhideWhenUsed/>
    <w:rsid w:val="00C07994"/>
    <w:pPr>
      <w:spacing w:line="240" w:lineRule="auto"/>
    </w:pPr>
    <w:rPr>
      <w:sz w:val="20"/>
      <w:szCs w:val="20"/>
    </w:rPr>
  </w:style>
  <w:style w:type="character" w:customStyle="1" w:styleId="CommentTextChar">
    <w:name w:val="Comment Text Char"/>
    <w:basedOn w:val="DefaultParagraphFont"/>
    <w:link w:val="CommentText"/>
    <w:uiPriority w:val="99"/>
    <w:semiHidden/>
    <w:rsid w:val="00C07994"/>
    <w:rPr>
      <w:sz w:val="20"/>
      <w:szCs w:val="20"/>
    </w:rPr>
  </w:style>
  <w:style w:type="paragraph" w:styleId="CommentSubject">
    <w:name w:val="annotation subject"/>
    <w:basedOn w:val="CommentText"/>
    <w:next w:val="CommentText"/>
    <w:link w:val="CommentSubjectChar"/>
    <w:uiPriority w:val="99"/>
    <w:semiHidden/>
    <w:unhideWhenUsed/>
    <w:rsid w:val="00C07994"/>
    <w:rPr>
      <w:b/>
      <w:bCs/>
    </w:rPr>
  </w:style>
  <w:style w:type="character" w:customStyle="1" w:styleId="CommentSubjectChar">
    <w:name w:val="Comment Subject Char"/>
    <w:basedOn w:val="CommentTextChar"/>
    <w:link w:val="CommentSubject"/>
    <w:uiPriority w:val="99"/>
    <w:semiHidden/>
    <w:rsid w:val="00C07994"/>
    <w:rPr>
      <w:b/>
      <w:bCs/>
      <w:sz w:val="20"/>
      <w:szCs w:val="20"/>
    </w:rPr>
  </w:style>
  <w:style w:type="character" w:customStyle="1" w:styleId="Heading2Char">
    <w:name w:val="Heading 2 Char"/>
    <w:basedOn w:val="DefaultParagraphFont"/>
    <w:link w:val="Heading2"/>
    <w:uiPriority w:val="9"/>
    <w:rsid w:val="000D5F4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186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050D"/>
    <w:pPr>
      <w:spacing w:line="240" w:lineRule="auto"/>
    </w:pPr>
    <w:rPr>
      <w:i/>
      <w:iCs/>
      <w:color w:val="1F497D" w:themeColor="text2"/>
      <w:sz w:val="18"/>
      <w:szCs w:val="18"/>
    </w:rPr>
  </w:style>
  <w:style w:type="paragraph" w:styleId="Revision">
    <w:name w:val="Revision"/>
    <w:hidden/>
    <w:uiPriority w:val="99"/>
    <w:semiHidden/>
    <w:rsid w:val="00B52F55"/>
    <w:pPr>
      <w:spacing w:after="0" w:line="240" w:lineRule="auto"/>
    </w:pPr>
  </w:style>
  <w:style w:type="character" w:styleId="FollowedHyperlink">
    <w:name w:val="FollowedHyperlink"/>
    <w:basedOn w:val="DefaultParagraphFont"/>
    <w:uiPriority w:val="99"/>
    <w:semiHidden/>
    <w:unhideWhenUsed/>
    <w:rsid w:val="00D959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soa.org" TargetMode="External"/><Relationship Id="rId11" Type="http://schemas.openxmlformats.org/officeDocument/2006/relationships/image" Target="media/image5.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hyperlink" Target="https://github.com/acolum/SOA-Data-Analysis-Contest" TargetMode="Externa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66581-8BA3-479A-ABC6-2F03EA01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Steed, Thomas(va)</dc:creator>
  <cp:keywords/>
  <dc:description/>
  <cp:lastModifiedBy>Columbus, Alyssa</cp:lastModifiedBy>
  <cp:revision>4</cp:revision>
  <cp:lastPrinted>2018-10-31T00:23:00Z</cp:lastPrinted>
  <dcterms:created xsi:type="dcterms:W3CDTF">2019-02-21T18:01:00Z</dcterms:created>
  <dcterms:modified xsi:type="dcterms:W3CDTF">2019-02-21T18:03:00Z</dcterms:modified>
</cp:coreProperties>
</file>